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233B57D8" w14:textId="320CFEAF" w:rsidR="0043706F" w:rsidRPr="0043706F" w:rsidRDefault="0050417F" w:rsidP="0043706F">
      <w:pPr>
        <w:pStyle w:val="Nadpis8"/>
        <w:rPr>
          <w:sz w:val="32"/>
          <w:szCs w:val="32"/>
        </w:rPr>
      </w:pPr>
      <w:r>
        <w:rPr>
          <w:sz w:val="32"/>
          <w:szCs w:val="32"/>
        </w:rPr>
        <w:t>Hematologická linka</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5D52F71A" w:rsidR="00E204A5" w:rsidRDefault="00B94A1B" w:rsidP="00FE0B17">
      <w:pPr>
        <w:pStyle w:val="Nadpis2"/>
        <w:numPr>
          <w:ilvl w:val="0"/>
          <w:numId w:val="2"/>
        </w:numPr>
        <w:rPr>
          <w:sz w:val="28"/>
          <w:szCs w:val="28"/>
        </w:rPr>
      </w:pPr>
      <w:r>
        <w:rPr>
          <w:sz w:val="28"/>
          <w:szCs w:val="28"/>
        </w:rPr>
        <w:t>Technické parametry</w:t>
      </w:r>
    </w:p>
    <w:p w14:paraId="52DE7D81" w14:textId="3C81AEA2" w:rsidR="00321C12" w:rsidRDefault="00321C12" w:rsidP="00321C12">
      <w:pPr>
        <w:rPr>
          <w:lang w:eastAsia="en-US"/>
        </w:rPr>
      </w:pPr>
    </w:p>
    <w:tbl>
      <w:tblPr>
        <w:tblStyle w:val="Mkatabulky3"/>
        <w:tblW w:w="0" w:type="auto"/>
        <w:tblInd w:w="-5" w:type="dxa"/>
        <w:tblLayout w:type="fixed"/>
        <w:tblLook w:val="04A0" w:firstRow="1" w:lastRow="0" w:firstColumn="1" w:lastColumn="0" w:noHBand="0" w:noVBand="1"/>
      </w:tblPr>
      <w:tblGrid>
        <w:gridCol w:w="5245"/>
        <w:gridCol w:w="1276"/>
        <w:gridCol w:w="3112"/>
      </w:tblGrid>
      <w:tr w:rsidR="0050417F" w:rsidRPr="0050417F" w14:paraId="6098E759" w14:textId="77777777" w:rsidTr="00720035">
        <w:trPr>
          <w:trHeight w:val="387"/>
          <w:tblHeader/>
        </w:trPr>
        <w:tc>
          <w:tcPr>
            <w:tcW w:w="5245" w:type="dxa"/>
            <w:shd w:val="clear" w:color="auto" w:fill="BDD6EE" w:themeFill="accent1" w:themeFillTint="66"/>
            <w:vAlign w:val="center"/>
          </w:tcPr>
          <w:p w14:paraId="64621227" w14:textId="77777777" w:rsidR="0050417F" w:rsidRPr="0050417F" w:rsidRDefault="0050417F" w:rsidP="0050417F">
            <w:pPr>
              <w:autoSpaceDE w:val="0"/>
              <w:autoSpaceDN w:val="0"/>
              <w:adjustRightInd w:val="0"/>
              <w:rPr>
                <w:rFonts w:asciiTheme="minorHAnsi" w:hAnsiTheme="minorHAnsi"/>
                <w:b/>
                <w:sz w:val="28"/>
                <w:szCs w:val="28"/>
              </w:rPr>
            </w:pPr>
            <w:r w:rsidRPr="0050417F">
              <w:rPr>
                <w:rFonts w:asciiTheme="minorHAnsi" w:hAnsiTheme="minorHAnsi"/>
                <w:b/>
                <w:sz w:val="28"/>
                <w:szCs w:val="28"/>
              </w:rPr>
              <w:t>Položka veřejné zakázky</w:t>
            </w:r>
          </w:p>
        </w:tc>
        <w:tc>
          <w:tcPr>
            <w:tcW w:w="4388" w:type="dxa"/>
            <w:gridSpan w:val="2"/>
            <w:shd w:val="clear" w:color="auto" w:fill="BDD6EE" w:themeFill="accent1" w:themeFillTint="66"/>
            <w:vAlign w:val="center"/>
          </w:tcPr>
          <w:p w14:paraId="215F5051" w14:textId="77777777" w:rsidR="0050417F" w:rsidRPr="0050417F" w:rsidRDefault="0050417F" w:rsidP="0050417F">
            <w:pPr>
              <w:autoSpaceDE w:val="0"/>
              <w:autoSpaceDN w:val="0"/>
              <w:adjustRightInd w:val="0"/>
              <w:rPr>
                <w:rFonts w:asciiTheme="minorHAnsi" w:hAnsiTheme="minorHAnsi"/>
                <w:b/>
                <w:sz w:val="28"/>
                <w:szCs w:val="28"/>
              </w:rPr>
            </w:pPr>
            <w:r w:rsidRPr="0050417F">
              <w:rPr>
                <w:rFonts w:asciiTheme="minorHAnsi" w:hAnsiTheme="minorHAnsi"/>
                <w:b/>
                <w:sz w:val="28"/>
                <w:szCs w:val="28"/>
              </w:rPr>
              <w:t>Hematologická linka - 1 ks</w:t>
            </w:r>
          </w:p>
        </w:tc>
      </w:tr>
      <w:tr w:rsidR="0050417F" w:rsidRPr="0050417F" w14:paraId="2234CEA7" w14:textId="77777777" w:rsidTr="00720035">
        <w:trPr>
          <w:trHeight w:val="1467"/>
          <w:tblHeader/>
        </w:trPr>
        <w:tc>
          <w:tcPr>
            <w:tcW w:w="5245" w:type="dxa"/>
            <w:shd w:val="clear" w:color="auto" w:fill="F7CAAC" w:themeFill="accent2" w:themeFillTint="66"/>
          </w:tcPr>
          <w:p w14:paraId="64F03CD0" w14:textId="77777777" w:rsidR="0050417F" w:rsidRPr="0050417F" w:rsidRDefault="0050417F" w:rsidP="0050417F">
            <w:pPr>
              <w:keepNext/>
              <w:autoSpaceDE w:val="0"/>
              <w:autoSpaceDN w:val="0"/>
              <w:adjustRightInd w:val="0"/>
              <w:outlineLvl w:val="5"/>
              <w:rPr>
                <w:rFonts w:asciiTheme="minorHAnsi" w:hAnsiTheme="minorHAnsi"/>
                <w:b/>
              </w:rPr>
            </w:pPr>
            <w:r w:rsidRPr="0050417F">
              <w:rPr>
                <w:rFonts w:asciiTheme="minorHAnsi" w:hAnsiTheme="minorHAnsi"/>
                <w:b/>
              </w:rPr>
              <w:t>Závazné charakteristiky a požadavky</w:t>
            </w:r>
          </w:p>
        </w:tc>
        <w:tc>
          <w:tcPr>
            <w:tcW w:w="1276" w:type="dxa"/>
            <w:shd w:val="clear" w:color="auto" w:fill="F7CAAC" w:themeFill="accent2" w:themeFillTint="66"/>
          </w:tcPr>
          <w:p w14:paraId="6F59DE96" w14:textId="77777777" w:rsidR="0050417F" w:rsidRPr="0050417F" w:rsidRDefault="0050417F" w:rsidP="0050417F">
            <w:pPr>
              <w:autoSpaceDE w:val="0"/>
              <w:autoSpaceDN w:val="0"/>
              <w:adjustRightInd w:val="0"/>
              <w:rPr>
                <w:rFonts w:asciiTheme="minorHAnsi" w:hAnsiTheme="minorHAnsi"/>
                <w:b/>
              </w:rPr>
            </w:pPr>
            <w:r w:rsidRPr="0050417F">
              <w:rPr>
                <w:rFonts w:asciiTheme="minorHAnsi" w:hAnsiTheme="minorHAnsi"/>
                <w:b/>
              </w:rPr>
              <w:t>Splnění požadavku ANO/NE</w:t>
            </w:r>
          </w:p>
        </w:tc>
        <w:tc>
          <w:tcPr>
            <w:tcW w:w="3112" w:type="dxa"/>
            <w:shd w:val="clear" w:color="auto" w:fill="F7CAAC" w:themeFill="accent2" w:themeFillTint="66"/>
          </w:tcPr>
          <w:p w14:paraId="65BD1754" w14:textId="77777777" w:rsidR="0050417F" w:rsidRPr="0050417F" w:rsidRDefault="0050417F" w:rsidP="0050417F">
            <w:pPr>
              <w:autoSpaceDE w:val="0"/>
              <w:autoSpaceDN w:val="0"/>
              <w:adjustRightInd w:val="0"/>
              <w:rPr>
                <w:rFonts w:asciiTheme="minorHAnsi" w:hAnsiTheme="minorHAnsi"/>
                <w:b/>
              </w:rPr>
            </w:pPr>
            <w:r w:rsidRPr="0050417F">
              <w:rPr>
                <w:rFonts w:asciiTheme="minorHAnsi" w:hAnsiTheme="minorHAnsi"/>
                <w:b/>
              </w:rPr>
              <w:t>Popis specifikace nabízeného plnění, ze kterého bude vyplývat splnění požadavků stanovených zadavatelem, možno uvést odkaz na stránku v nabídce.</w:t>
            </w:r>
          </w:p>
        </w:tc>
      </w:tr>
      <w:tr w:rsidR="0050417F" w:rsidRPr="0050417F" w14:paraId="0FC4F53B" w14:textId="77777777" w:rsidTr="00720035">
        <w:tc>
          <w:tcPr>
            <w:tcW w:w="5245" w:type="dxa"/>
            <w:vAlign w:val="bottom"/>
          </w:tcPr>
          <w:p w14:paraId="5EE8AE0A"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nový nerepasovaný přístroj, uveďte název a typové označení výrobku</w:t>
            </w:r>
          </w:p>
        </w:tc>
        <w:tc>
          <w:tcPr>
            <w:tcW w:w="1276" w:type="dxa"/>
            <w:vAlign w:val="center"/>
          </w:tcPr>
          <w:p w14:paraId="1F69998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3133154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46DEFC2" w14:textId="77777777" w:rsidTr="00720035">
        <w:tc>
          <w:tcPr>
            <w:tcW w:w="5245" w:type="dxa"/>
            <w:vAlign w:val="center"/>
          </w:tcPr>
          <w:p w14:paraId="12008C23"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SW splňující podmínky ČSN ISO 15189 (databáze výsledků, automatické zálohování primárních dat, vyhodnocování QC)</w:t>
            </w:r>
          </w:p>
        </w:tc>
        <w:tc>
          <w:tcPr>
            <w:tcW w:w="1276" w:type="dxa"/>
            <w:vAlign w:val="center"/>
          </w:tcPr>
          <w:p w14:paraId="3A0CDAEE" w14:textId="77777777" w:rsidR="0050417F" w:rsidRPr="0050417F" w:rsidRDefault="0050417F" w:rsidP="0050417F">
            <w:pPr>
              <w:jc w:val="center"/>
            </w:pPr>
            <w:r w:rsidRPr="0050417F">
              <w:rPr>
                <w:rFonts w:ascii="Calibri" w:hAnsi="Calibri" w:cs="Calibri"/>
                <w:color w:val="FF0000"/>
                <w:szCs w:val="20"/>
              </w:rPr>
              <w:t>(doplní dodavatel)</w:t>
            </w:r>
          </w:p>
        </w:tc>
        <w:tc>
          <w:tcPr>
            <w:tcW w:w="3112" w:type="dxa"/>
            <w:vAlign w:val="center"/>
          </w:tcPr>
          <w:p w14:paraId="1A37A97D" w14:textId="77777777" w:rsidR="0050417F" w:rsidRPr="0050417F" w:rsidRDefault="0050417F" w:rsidP="0050417F">
            <w:pPr>
              <w:jc w:val="center"/>
            </w:pPr>
            <w:r w:rsidRPr="0050417F">
              <w:rPr>
                <w:rFonts w:ascii="Calibri" w:hAnsi="Calibri" w:cs="Calibri"/>
                <w:color w:val="FF0000"/>
                <w:szCs w:val="20"/>
              </w:rPr>
              <w:t>(doplní dodavatel)</w:t>
            </w:r>
          </w:p>
        </w:tc>
      </w:tr>
      <w:tr w:rsidR="0050417F" w:rsidRPr="0050417F" w14:paraId="25D7954A" w14:textId="77777777" w:rsidTr="00720035">
        <w:tc>
          <w:tcPr>
            <w:tcW w:w="5245" w:type="dxa"/>
            <w:vAlign w:val="bottom"/>
          </w:tcPr>
          <w:p w14:paraId="6893CD06"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SW umožňující sledování a záznam údržby</w:t>
            </w:r>
          </w:p>
        </w:tc>
        <w:tc>
          <w:tcPr>
            <w:tcW w:w="1276" w:type="dxa"/>
            <w:vAlign w:val="center"/>
          </w:tcPr>
          <w:p w14:paraId="092D606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2CD9427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FCD7AFA" w14:textId="77777777" w:rsidTr="00720035">
        <w:tc>
          <w:tcPr>
            <w:tcW w:w="5245" w:type="dxa"/>
            <w:vAlign w:val="bottom"/>
          </w:tcPr>
          <w:p w14:paraId="5A870B5A"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 xml:space="preserve">jednotný obslužný software pro všechny dodané analyzátory a zajištění kompatibility se stávající digitální morfologií na pracovišti (výrobní model DI-60) – HW a SW </w:t>
            </w:r>
          </w:p>
        </w:tc>
        <w:tc>
          <w:tcPr>
            <w:tcW w:w="1276" w:type="dxa"/>
            <w:vAlign w:val="center"/>
          </w:tcPr>
          <w:p w14:paraId="09CB62E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5A9CE36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6C84E1F" w14:textId="77777777" w:rsidTr="00720035">
        <w:tc>
          <w:tcPr>
            <w:tcW w:w="5245" w:type="dxa"/>
            <w:vAlign w:val="bottom"/>
          </w:tcPr>
          <w:p w14:paraId="18F3B35F"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b/>
                <w:szCs w:val="20"/>
                <w:lang w:eastAsia="ja-JP"/>
              </w:rPr>
              <w:t>HLAVNÍ ANALYTICKÝ SYSTÉM</w:t>
            </w:r>
            <w:r w:rsidRPr="0050417F">
              <w:rPr>
                <w:rFonts w:eastAsia="MS Mincho" w:cs="Arial"/>
                <w:szCs w:val="20"/>
                <w:lang w:eastAsia="ja-JP"/>
              </w:rPr>
              <w:t xml:space="preserve"> </w:t>
            </w:r>
          </w:p>
        </w:tc>
        <w:tc>
          <w:tcPr>
            <w:tcW w:w="1276" w:type="dxa"/>
            <w:vAlign w:val="center"/>
          </w:tcPr>
          <w:p w14:paraId="5835023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04A3463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5D464E1F" w14:textId="77777777" w:rsidTr="00720035">
        <w:tc>
          <w:tcPr>
            <w:tcW w:w="5245" w:type="dxa"/>
            <w:vAlign w:val="bottom"/>
          </w:tcPr>
          <w:p w14:paraId="4D69B4F5"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 xml:space="preserve">automatická hematologická linka zajišťující propojení analýzy krevního obrazu s automatickým zhotovením nátěru a jeho následným obarvením, celková délka hematologické linky z důvodu prostorových možností pracoviště maximálně 2 m </w:t>
            </w:r>
          </w:p>
        </w:tc>
        <w:tc>
          <w:tcPr>
            <w:tcW w:w="1276" w:type="dxa"/>
            <w:vAlign w:val="center"/>
          </w:tcPr>
          <w:p w14:paraId="6B4FEF9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74A79D3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D6EF679" w14:textId="77777777" w:rsidTr="00720035">
        <w:tc>
          <w:tcPr>
            <w:tcW w:w="5245" w:type="dxa"/>
            <w:vAlign w:val="bottom"/>
          </w:tcPr>
          <w:p w14:paraId="6D2FD5B3"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automatický přesun vzorků z analyzátoru krevních buněk do nátěrového a barvicího automatu</w:t>
            </w:r>
          </w:p>
        </w:tc>
        <w:tc>
          <w:tcPr>
            <w:tcW w:w="1276" w:type="dxa"/>
            <w:vAlign w:val="center"/>
          </w:tcPr>
          <w:p w14:paraId="5F26171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53505F9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1E99BBD" w14:textId="77777777" w:rsidTr="00720035">
        <w:tc>
          <w:tcPr>
            <w:tcW w:w="5245" w:type="dxa"/>
            <w:vAlign w:val="bottom"/>
          </w:tcPr>
          <w:p w14:paraId="34F24DA9"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lastRenderedPageBreak/>
              <w:t>výběr vzorků k nátěru na základě uživatelem stanovených pravidel</w:t>
            </w:r>
          </w:p>
        </w:tc>
        <w:tc>
          <w:tcPr>
            <w:tcW w:w="1276" w:type="dxa"/>
            <w:vAlign w:val="center"/>
          </w:tcPr>
          <w:p w14:paraId="4E9A0DB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070DA7C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D9C119A" w14:textId="77777777" w:rsidTr="00720035">
        <w:tc>
          <w:tcPr>
            <w:tcW w:w="5245" w:type="dxa"/>
            <w:vAlign w:val="bottom"/>
          </w:tcPr>
          <w:p w14:paraId="6A086877"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automatický přesun nátěrů vzorků z nátěrového a barvicího automatu do stávajícího systému digitální morfologie (DI-60) na základě uživatelem zvolených parametrů</w:t>
            </w:r>
          </w:p>
        </w:tc>
        <w:tc>
          <w:tcPr>
            <w:tcW w:w="1276" w:type="dxa"/>
            <w:vAlign w:val="center"/>
          </w:tcPr>
          <w:p w14:paraId="5F9C900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144DF42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1313C6F" w14:textId="77777777" w:rsidTr="00720035">
        <w:tc>
          <w:tcPr>
            <w:tcW w:w="5245" w:type="dxa"/>
            <w:vAlign w:val="bottom"/>
          </w:tcPr>
          <w:p w14:paraId="375BF279"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stanovení parametrů krevního obrazu, šestipopulačního diferenciálu, retikulocytů a nezralých frakcí krevních destiček</w:t>
            </w:r>
          </w:p>
        </w:tc>
        <w:tc>
          <w:tcPr>
            <w:tcW w:w="1276" w:type="dxa"/>
            <w:vAlign w:val="center"/>
          </w:tcPr>
          <w:p w14:paraId="5D71E84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75E8708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C300890" w14:textId="77777777" w:rsidTr="00720035">
        <w:tc>
          <w:tcPr>
            <w:tcW w:w="5245" w:type="dxa"/>
            <w:vAlign w:val="bottom"/>
          </w:tcPr>
          <w:p w14:paraId="08E86F6E"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individuální volba vyšetřovaných profilů (manuálně nebo z LIS)</w:t>
            </w:r>
          </w:p>
        </w:tc>
        <w:tc>
          <w:tcPr>
            <w:tcW w:w="1276" w:type="dxa"/>
            <w:vAlign w:val="center"/>
          </w:tcPr>
          <w:p w14:paraId="5807813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32F5D66E"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91A0BDD" w14:textId="77777777" w:rsidTr="00720035">
        <w:tc>
          <w:tcPr>
            <w:tcW w:w="5245" w:type="dxa"/>
            <w:vAlign w:val="bottom"/>
          </w:tcPr>
          <w:p w14:paraId="79C5448A" w14:textId="77777777" w:rsidR="0050417F" w:rsidRPr="0050417F" w:rsidRDefault="0050417F" w:rsidP="0050417F">
            <w:pPr>
              <w:rPr>
                <w:rFonts w:cs="Arial"/>
                <w:szCs w:val="20"/>
              </w:rPr>
            </w:pPr>
            <w:r w:rsidRPr="0050417F">
              <w:rPr>
                <w:rFonts w:cs="Arial"/>
                <w:szCs w:val="20"/>
              </w:rPr>
              <w:t xml:space="preserve">kombinace různých profilů, např. KO, KO+DIF, KO+RET, KO+DIF+RET, KO+nezralá frakce PLT, KO+DIF+RET+nezralá frakce PLT, KO+DIF+nezralá frakce PLT </w:t>
            </w:r>
          </w:p>
          <w:p w14:paraId="1FE3663C" w14:textId="77777777" w:rsidR="0050417F" w:rsidRPr="0050417F" w:rsidRDefault="0050417F" w:rsidP="0050417F">
            <w:pPr>
              <w:rPr>
                <w:rFonts w:asciiTheme="minorHAnsi" w:hAnsiTheme="minorHAnsi"/>
                <w:szCs w:val="22"/>
              </w:rPr>
            </w:pPr>
            <w:r w:rsidRPr="0050417F">
              <w:rPr>
                <w:rFonts w:cs="Arial"/>
                <w:szCs w:val="20"/>
              </w:rPr>
              <w:t>BF</w:t>
            </w:r>
          </w:p>
        </w:tc>
        <w:tc>
          <w:tcPr>
            <w:tcW w:w="1276" w:type="dxa"/>
            <w:vAlign w:val="center"/>
          </w:tcPr>
          <w:p w14:paraId="71D5C84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3170A29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2FDE6A4" w14:textId="77777777" w:rsidTr="00720035">
        <w:tc>
          <w:tcPr>
            <w:tcW w:w="5245" w:type="dxa"/>
            <w:vAlign w:val="bottom"/>
          </w:tcPr>
          <w:p w14:paraId="0746000B" w14:textId="77777777" w:rsidR="0050417F" w:rsidRPr="0050417F" w:rsidRDefault="0050417F" w:rsidP="0050417F">
            <w:pPr>
              <w:spacing w:after="200"/>
              <w:ind w:right="-567"/>
              <w:contextualSpacing/>
              <w:rPr>
                <w:rFonts w:cs="Arial"/>
                <w:szCs w:val="20"/>
                <w:lang w:eastAsia="en-US"/>
              </w:rPr>
            </w:pPr>
            <w:r w:rsidRPr="0050417F">
              <w:rPr>
                <w:rFonts w:cs="Arial"/>
                <w:szCs w:val="20"/>
                <w:lang w:eastAsia="en-US"/>
              </w:rPr>
              <w:t>validovaný mód pro vyšetření všech tělních</w:t>
            </w:r>
          </w:p>
          <w:p w14:paraId="237C68E9" w14:textId="77777777" w:rsidR="0050417F" w:rsidRPr="0050417F" w:rsidRDefault="0050417F" w:rsidP="0050417F">
            <w:pPr>
              <w:spacing w:after="200"/>
              <w:ind w:right="-567"/>
              <w:contextualSpacing/>
              <w:rPr>
                <w:rFonts w:cs="Arial"/>
                <w:szCs w:val="20"/>
                <w:lang w:eastAsia="en-US"/>
              </w:rPr>
            </w:pPr>
            <w:r w:rsidRPr="0050417F">
              <w:rPr>
                <w:rFonts w:cs="Arial"/>
                <w:szCs w:val="20"/>
                <w:lang w:eastAsia="en-US"/>
              </w:rPr>
              <w:t>tekutin včetně diferenciace populace WBC</w:t>
            </w:r>
          </w:p>
          <w:p w14:paraId="76D16DFC" w14:textId="77777777" w:rsidR="0050417F" w:rsidRPr="0050417F" w:rsidRDefault="0050417F" w:rsidP="0050417F">
            <w:pPr>
              <w:spacing w:after="200"/>
              <w:ind w:right="-567"/>
              <w:contextualSpacing/>
              <w:rPr>
                <w:rFonts w:cs="Arial"/>
                <w:szCs w:val="20"/>
                <w:lang w:eastAsia="en-US"/>
              </w:rPr>
            </w:pPr>
            <w:r w:rsidRPr="0050417F">
              <w:rPr>
                <w:rFonts w:cs="Arial"/>
                <w:szCs w:val="20"/>
                <w:lang w:eastAsia="en-US"/>
              </w:rPr>
              <w:t xml:space="preserve"> (WBC-BF, RBC-BF, MN (mononukleáry %,#) PMN </w:t>
            </w:r>
          </w:p>
          <w:p w14:paraId="5B75575A" w14:textId="77777777" w:rsidR="0050417F" w:rsidRPr="0050417F" w:rsidRDefault="0050417F" w:rsidP="0050417F">
            <w:pPr>
              <w:spacing w:after="200"/>
              <w:ind w:right="-567"/>
              <w:contextualSpacing/>
              <w:rPr>
                <w:rFonts w:asciiTheme="minorHAnsi" w:hAnsiTheme="minorHAnsi" w:cs="Calibri"/>
                <w:szCs w:val="22"/>
                <w:lang w:eastAsia="en-US"/>
              </w:rPr>
            </w:pPr>
            <w:r w:rsidRPr="0050417F">
              <w:rPr>
                <w:rFonts w:cs="Arial"/>
                <w:szCs w:val="20"/>
                <w:lang w:eastAsia="en-US"/>
              </w:rPr>
              <w:t>(polymorfonukleáry #,%), s přenosem parametrů do LISu (alespoň jeden analyzátor v lince)</w:t>
            </w:r>
          </w:p>
        </w:tc>
        <w:tc>
          <w:tcPr>
            <w:tcW w:w="1276" w:type="dxa"/>
            <w:vAlign w:val="center"/>
          </w:tcPr>
          <w:p w14:paraId="3FA50CC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39E9375E"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8CB24A7" w14:textId="77777777" w:rsidTr="00720035">
        <w:tc>
          <w:tcPr>
            <w:tcW w:w="5245" w:type="dxa"/>
            <w:vAlign w:val="bottom"/>
          </w:tcPr>
          <w:p w14:paraId="21860516" w14:textId="77777777" w:rsidR="0050417F" w:rsidRPr="0050417F" w:rsidRDefault="0050417F" w:rsidP="0050417F">
            <w:pPr>
              <w:spacing w:after="200"/>
              <w:ind w:right="-567"/>
              <w:contextualSpacing/>
              <w:rPr>
                <w:rFonts w:cs="Arial"/>
                <w:szCs w:val="20"/>
                <w:lang w:eastAsia="en-US"/>
              </w:rPr>
            </w:pPr>
            <w:r w:rsidRPr="0050417F">
              <w:rPr>
                <w:rFonts w:cs="Arial"/>
                <w:szCs w:val="20"/>
                <w:lang w:eastAsia="en-US"/>
              </w:rPr>
              <w:t>vyšetření buněk s vysokou fluorescencí v </w:t>
            </w:r>
          </w:p>
          <w:p w14:paraId="2D7DD8DD" w14:textId="77777777" w:rsidR="0050417F" w:rsidRPr="0050417F" w:rsidRDefault="0050417F" w:rsidP="0050417F">
            <w:pPr>
              <w:spacing w:after="200"/>
              <w:ind w:right="-567"/>
              <w:contextualSpacing/>
              <w:rPr>
                <w:rFonts w:asciiTheme="minorHAnsi" w:hAnsiTheme="minorHAnsi"/>
                <w:szCs w:val="22"/>
                <w:lang w:eastAsia="en-US"/>
              </w:rPr>
            </w:pPr>
            <w:r w:rsidRPr="0050417F">
              <w:rPr>
                <w:rFonts w:cs="Arial"/>
                <w:szCs w:val="20"/>
                <w:lang w:eastAsia="en-US"/>
              </w:rPr>
              <w:t>tělních tekutinách – významné patologie (alespoň jeden analyzátor v lince)</w:t>
            </w:r>
          </w:p>
        </w:tc>
        <w:tc>
          <w:tcPr>
            <w:tcW w:w="1276" w:type="dxa"/>
            <w:vAlign w:val="center"/>
          </w:tcPr>
          <w:p w14:paraId="4FF54EC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10DC26D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372F6A3" w14:textId="77777777" w:rsidTr="00720035">
        <w:tc>
          <w:tcPr>
            <w:tcW w:w="5245" w:type="dxa"/>
            <w:vAlign w:val="bottom"/>
          </w:tcPr>
          <w:p w14:paraId="544A01FE"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všechny profily a měřené parametry musí být pro klinické použití, možnost ověření kontrolou kvality</w:t>
            </w:r>
          </w:p>
        </w:tc>
        <w:tc>
          <w:tcPr>
            <w:tcW w:w="1276" w:type="dxa"/>
            <w:vAlign w:val="center"/>
          </w:tcPr>
          <w:p w14:paraId="363B599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1DE9F54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07AF03A" w14:textId="77777777" w:rsidTr="00720035">
        <w:tc>
          <w:tcPr>
            <w:tcW w:w="5245" w:type="dxa"/>
            <w:vAlign w:val="bottom"/>
          </w:tcPr>
          <w:p w14:paraId="5C6CA940"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KO + šestipopulační diferenciál s varovným hlášením – systém chybových hlášek upozorňujících na suspektní shluky trombocytů, makrotrombocyty, posun doleva, přítomnost blastů, atypických lymfocytů, variantních forem lymfocytů, ev. další</w:t>
            </w:r>
          </w:p>
        </w:tc>
        <w:tc>
          <w:tcPr>
            <w:tcW w:w="1276" w:type="dxa"/>
            <w:vAlign w:val="center"/>
          </w:tcPr>
          <w:p w14:paraId="4FA5D48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27D6A4B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47D4724" w14:textId="77777777" w:rsidTr="00720035">
        <w:tc>
          <w:tcPr>
            <w:tcW w:w="5245" w:type="dxa"/>
            <w:vAlign w:val="bottom"/>
          </w:tcPr>
          <w:p w14:paraId="375ECDCB"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vyšetření NRBC (erytroblastů), automatická korekce počtu leukocytů</w:t>
            </w:r>
          </w:p>
        </w:tc>
        <w:tc>
          <w:tcPr>
            <w:tcW w:w="1276" w:type="dxa"/>
            <w:vAlign w:val="center"/>
          </w:tcPr>
          <w:p w14:paraId="4B09ADC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4D5D6F2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466624C" w14:textId="77777777" w:rsidTr="00720035">
        <w:tc>
          <w:tcPr>
            <w:tcW w:w="5245" w:type="dxa"/>
            <w:vAlign w:val="bottom"/>
          </w:tcPr>
          <w:p w14:paraId="251EF71D"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přímé plně automatizované měření počtu retikulocytů s udáním % i absolutní hodnoty (minimálně jeden analyzátor v lince)</w:t>
            </w:r>
          </w:p>
        </w:tc>
        <w:tc>
          <w:tcPr>
            <w:tcW w:w="1276" w:type="dxa"/>
            <w:vAlign w:val="center"/>
          </w:tcPr>
          <w:p w14:paraId="2FFACE8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43D102D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9ACF722" w14:textId="77777777" w:rsidTr="00720035">
        <w:tc>
          <w:tcPr>
            <w:tcW w:w="5245" w:type="dxa"/>
            <w:vAlign w:val="bottom"/>
          </w:tcPr>
          <w:p w14:paraId="26D5CAF0"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rozčlenění retikulocytů dle stupně vyzrálosti na jednotlivé frakce (minimálně jeden analyzátor v lince)</w:t>
            </w:r>
          </w:p>
        </w:tc>
        <w:tc>
          <w:tcPr>
            <w:tcW w:w="1276" w:type="dxa"/>
            <w:vAlign w:val="center"/>
          </w:tcPr>
          <w:p w14:paraId="72D71E0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41A8896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E0EEB13" w14:textId="77777777" w:rsidTr="00720035">
        <w:tc>
          <w:tcPr>
            <w:tcW w:w="5245" w:type="dxa"/>
            <w:vAlign w:val="bottom"/>
          </w:tcPr>
          <w:p w14:paraId="7B91B9B3"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lastRenderedPageBreak/>
              <w:t>kvantitativní stanovení počtu trombocytů alternativními metodami k základní impedanční metodě, včetně kvantifikace nezralé frakce trombocytů na fluorescenčním principu (počet absolutní i relativní (%), oba požadované parametry musí být diagnostické a ne výzkumné) jako markeru pro klinické užití při monitoraci stavu trombopoézy u řady trombocytopenických a krvácejících pacientů (minimálně jeden analyzátor v lince)</w:t>
            </w:r>
          </w:p>
        </w:tc>
        <w:tc>
          <w:tcPr>
            <w:tcW w:w="1276" w:type="dxa"/>
            <w:vAlign w:val="center"/>
          </w:tcPr>
          <w:p w14:paraId="208E0D0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049688E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89F12CD" w14:textId="77777777" w:rsidTr="00720035">
        <w:tc>
          <w:tcPr>
            <w:tcW w:w="5245" w:type="dxa"/>
            <w:vAlign w:val="bottom"/>
          </w:tcPr>
          <w:p w14:paraId="3D5CF39F"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alespoň jeden analyzátor v lince umí analyzovat příčinu zvýšeného MCHC v krátkém čase</w:t>
            </w:r>
          </w:p>
        </w:tc>
        <w:tc>
          <w:tcPr>
            <w:tcW w:w="1276" w:type="dxa"/>
            <w:vAlign w:val="center"/>
          </w:tcPr>
          <w:p w14:paraId="31FAEBA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0230790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7DFB556" w14:textId="77777777" w:rsidTr="00720035">
        <w:tc>
          <w:tcPr>
            <w:tcW w:w="5245" w:type="dxa"/>
            <w:vAlign w:val="bottom"/>
          </w:tcPr>
          <w:p w14:paraId="29A10A7C"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počet vzorků za hodinu min. 170 KO a KO s DIF, možnost dodání více analyzátorů krevních buněk při zachování kompatibility s nátěrovým a barvícím modulem – jedna linka umožňující průchod zkumavky sadou podavačů bez zásahu obsluhy až po digitalizaci krevních nátěrů</w:t>
            </w:r>
          </w:p>
        </w:tc>
        <w:tc>
          <w:tcPr>
            <w:tcW w:w="1276" w:type="dxa"/>
            <w:vAlign w:val="center"/>
          </w:tcPr>
          <w:p w14:paraId="221BF08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24E6DE0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536BB8F" w14:textId="77777777" w:rsidTr="00720035">
        <w:tc>
          <w:tcPr>
            <w:tcW w:w="5245" w:type="dxa"/>
            <w:vAlign w:val="bottom"/>
          </w:tcPr>
          <w:p w14:paraId="6C3C9070"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nastavení automatického opakovaného měření vzorku bez zásahu obsluhy s uživatelsky definovanými pravidly (ověření výsledku specifičtějšími metodami v případě podezření na patologický nález dle požadavků laboratoře), expertní middleware s uživatelsky definovatelnými pravidly</w:t>
            </w:r>
          </w:p>
        </w:tc>
        <w:tc>
          <w:tcPr>
            <w:tcW w:w="1276" w:type="dxa"/>
            <w:vAlign w:val="center"/>
          </w:tcPr>
          <w:p w14:paraId="6A7DFD9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7E7763A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24E6199" w14:textId="77777777" w:rsidTr="00720035">
        <w:tc>
          <w:tcPr>
            <w:tcW w:w="5245" w:type="dxa"/>
            <w:vAlign w:val="bottom"/>
          </w:tcPr>
          <w:p w14:paraId="5FC63849"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automatický podavač s obousměrným pohybem vzorků a kapacitou min. 40 vzorků s kontinuálním doplňováním vzorků</w:t>
            </w:r>
          </w:p>
        </w:tc>
        <w:tc>
          <w:tcPr>
            <w:tcW w:w="1276" w:type="dxa"/>
            <w:vAlign w:val="center"/>
          </w:tcPr>
          <w:p w14:paraId="526A327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4F1EF94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A9AEE54" w14:textId="77777777" w:rsidTr="00720035">
        <w:tc>
          <w:tcPr>
            <w:tcW w:w="5245" w:type="dxa"/>
            <w:vAlign w:val="bottom"/>
          </w:tcPr>
          <w:p w14:paraId="440322FE" w14:textId="77777777" w:rsidR="0050417F" w:rsidRPr="0050417F" w:rsidRDefault="0050417F" w:rsidP="0050417F">
            <w:pPr>
              <w:suppressAutoHyphens/>
              <w:contextualSpacing/>
              <w:jc w:val="both"/>
              <w:rPr>
                <w:rFonts w:cs="Arial"/>
                <w:szCs w:val="20"/>
                <w:lang w:eastAsia="en-US"/>
              </w:rPr>
            </w:pPr>
            <w:r w:rsidRPr="0050417F">
              <w:rPr>
                <w:rFonts w:cs="Arial"/>
                <w:szCs w:val="20"/>
              </w:rPr>
              <w:t>minimalizace objemu potřebného pro analýzu, pro manuální režim vyšetřování krevních obrazů max. 100 µl, pro automatický režim vyšetření /vyšetření tělních tekutin max. 150 µl</w:t>
            </w:r>
          </w:p>
        </w:tc>
        <w:tc>
          <w:tcPr>
            <w:tcW w:w="1276" w:type="dxa"/>
            <w:vAlign w:val="center"/>
          </w:tcPr>
          <w:p w14:paraId="4762403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1F4664E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C5596C8" w14:textId="77777777" w:rsidTr="00720035">
        <w:tc>
          <w:tcPr>
            <w:tcW w:w="5245" w:type="dxa"/>
            <w:vAlign w:val="bottom"/>
          </w:tcPr>
          <w:p w14:paraId="54B5ED9F" w14:textId="77777777" w:rsidR="0050417F" w:rsidRPr="0050417F" w:rsidRDefault="0050417F" w:rsidP="0050417F">
            <w:pPr>
              <w:suppressAutoHyphens/>
              <w:contextualSpacing/>
              <w:jc w:val="both"/>
              <w:rPr>
                <w:rFonts w:cs="Arial"/>
                <w:szCs w:val="20"/>
              </w:rPr>
            </w:pPr>
            <w:r w:rsidRPr="0050417F">
              <w:rPr>
                <w:rFonts w:cs="Arial"/>
                <w:szCs w:val="20"/>
              </w:rPr>
              <w:t xml:space="preserve">schopnost detekce hladiny vzorku, v případě nasátí nedostatečného množství vzorku, bubliny nebo sraženiny musí analyzátor bezprostředně vydat chybové </w:t>
            </w:r>
          </w:p>
          <w:p w14:paraId="6269D62F" w14:textId="77777777" w:rsidR="0050417F" w:rsidRPr="0050417F" w:rsidRDefault="0050417F" w:rsidP="0050417F">
            <w:pPr>
              <w:suppressAutoHyphens/>
              <w:contextualSpacing/>
              <w:jc w:val="both"/>
              <w:rPr>
                <w:rFonts w:cs="Arial"/>
                <w:szCs w:val="20"/>
                <w:lang w:eastAsia="en-US"/>
              </w:rPr>
            </w:pPr>
            <w:r w:rsidRPr="0050417F">
              <w:rPr>
                <w:rFonts w:cs="Arial"/>
                <w:szCs w:val="20"/>
              </w:rPr>
              <w:t>upozornění</w:t>
            </w:r>
          </w:p>
        </w:tc>
        <w:tc>
          <w:tcPr>
            <w:tcW w:w="1276" w:type="dxa"/>
            <w:vAlign w:val="center"/>
          </w:tcPr>
          <w:p w14:paraId="114AB8B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7A9D370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2ECC7CD" w14:textId="77777777" w:rsidTr="00720035">
        <w:tc>
          <w:tcPr>
            <w:tcW w:w="5245" w:type="dxa"/>
            <w:vAlign w:val="bottom"/>
          </w:tcPr>
          <w:p w14:paraId="7A86652C" w14:textId="77777777" w:rsidR="0050417F" w:rsidRPr="0050417F" w:rsidRDefault="0050417F" w:rsidP="0050417F">
            <w:pPr>
              <w:keepLines/>
              <w:spacing w:before="120"/>
              <w:rPr>
                <w:rFonts w:asciiTheme="minorHAnsi" w:eastAsia="MS Mincho" w:hAnsiTheme="minorHAnsi" w:cs="Arial"/>
                <w:szCs w:val="22"/>
                <w:lang w:eastAsia="ja-JP"/>
              </w:rPr>
            </w:pPr>
            <w:r w:rsidRPr="0050417F">
              <w:rPr>
                <w:rFonts w:eastAsia="MS Mincho" w:cs="Arial"/>
                <w:szCs w:val="20"/>
              </w:rPr>
              <w:t xml:space="preserve">software pro zálohování a následné zpřístupnění primárních dat </w:t>
            </w:r>
          </w:p>
        </w:tc>
        <w:tc>
          <w:tcPr>
            <w:tcW w:w="1276" w:type="dxa"/>
            <w:vAlign w:val="center"/>
          </w:tcPr>
          <w:p w14:paraId="10E4463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vAlign w:val="center"/>
          </w:tcPr>
          <w:p w14:paraId="20658D5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EF3E018" w14:textId="77777777" w:rsidTr="00720035">
        <w:tc>
          <w:tcPr>
            <w:tcW w:w="5245" w:type="dxa"/>
            <w:vAlign w:val="bottom"/>
          </w:tcPr>
          <w:p w14:paraId="00BA0B52" w14:textId="77777777" w:rsidR="0050417F" w:rsidRPr="0050417F" w:rsidRDefault="0050417F" w:rsidP="0050417F">
            <w:pPr>
              <w:keepLines/>
              <w:spacing w:before="120"/>
              <w:rPr>
                <w:rFonts w:eastAsia="MS Mincho" w:cs="Arial"/>
                <w:szCs w:val="20"/>
              </w:rPr>
            </w:pPr>
            <w:r w:rsidRPr="0050417F">
              <w:rPr>
                <w:rFonts w:eastAsia="MS Mincho" w:cs="Arial"/>
                <w:szCs w:val="20"/>
              </w:rPr>
              <w:t>vestavěná čtečka čárového kódu</w:t>
            </w:r>
          </w:p>
        </w:tc>
        <w:tc>
          <w:tcPr>
            <w:tcW w:w="1276" w:type="dxa"/>
          </w:tcPr>
          <w:p w14:paraId="7C51086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4BBC396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BEA12BC" w14:textId="77777777" w:rsidTr="00720035">
        <w:tc>
          <w:tcPr>
            <w:tcW w:w="5245" w:type="dxa"/>
            <w:vAlign w:val="bottom"/>
          </w:tcPr>
          <w:p w14:paraId="3CE8B5DC" w14:textId="77777777" w:rsidR="0050417F" w:rsidRPr="0050417F" w:rsidRDefault="0050417F" w:rsidP="0050417F">
            <w:pPr>
              <w:keepLines/>
              <w:spacing w:before="120"/>
              <w:rPr>
                <w:rFonts w:eastAsia="MS Mincho" w:cs="Arial"/>
                <w:szCs w:val="20"/>
              </w:rPr>
            </w:pPr>
            <w:r w:rsidRPr="0050417F">
              <w:rPr>
                <w:rFonts w:eastAsia="MS Mincho" w:cs="Arial"/>
                <w:szCs w:val="20"/>
              </w:rPr>
              <w:t>ruční čtečka čárového kódu</w:t>
            </w:r>
          </w:p>
        </w:tc>
        <w:tc>
          <w:tcPr>
            <w:tcW w:w="1276" w:type="dxa"/>
          </w:tcPr>
          <w:p w14:paraId="46959B2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746E060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75C2ECB" w14:textId="77777777" w:rsidTr="00720035">
        <w:tc>
          <w:tcPr>
            <w:tcW w:w="5245" w:type="dxa"/>
            <w:vAlign w:val="bottom"/>
          </w:tcPr>
          <w:p w14:paraId="1DDD8832" w14:textId="77777777" w:rsidR="0050417F" w:rsidRPr="0050417F" w:rsidRDefault="0050417F" w:rsidP="0050417F">
            <w:pPr>
              <w:keepLines/>
              <w:spacing w:before="120"/>
              <w:rPr>
                <w:rFonts w:eastAsia="MS Mincho" w:cs="Arial"/>
                <w:szCs w:val="20"/>
              </w:rPr>
            </w:pPr>
            <w:r w:rsidRPr="0050417F">
              <w:rPr>
                <w:rFonts w:eastAsia="MS Mincho" w:cs="Arial"/>
                <w:szCs w:val="20"/>
              </w:rPr>
              <w:lastRenderedPageBreak/>
              <w:t xml:space="preserve">aspirovaný objem vzorku pro analýzu v automatickém režimu maximálně 170 </w:t>
            </w:r>
            <w:r w:rsidRPr="0050417F">
              <w:rPr>
                <w:rFonts w:ascii="Symbol" w:eastAsia="MS Mincho" w:hAnsi="Symbol" w:cs="Arial"/>
                <w:szCs w:val="20"/>
                <w:lang w:eastAsia="ja-JP"/>
              </w:rPr>
              <w:t></w:t>
            </w:r>
            <w:r w:rsidRPr="0050417F">
              <w:rPr>
                <w:rFonts w:eastAsia="MS Mincho" w:cs="Arial"/>
                <w:szCs w:val="20"/>
                <w:lang w:eastAsia="ja-JP"/>
              </w:rPr>
              <w:t>l</w:t>
            </w:r>
          </w:p>
        </w:tc>
        <w:tc>
          <w:tcPr>
            <w:tcW w:w="1276" w:type="dxa"/>
          </w:tcPr>
          <w:p w14:paraId="56BEAE1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C29B6F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B32D3D5" w14:textId="77777777" w:rsidTr="00720035">
        <w:tc>
          <w:tcPr>
            <w:tcW w:w="5245" w:type="dxa"/>
            <w:vAlign w:val="bottom"/>
          </w:tcPr>
          <w:p w14:paraId="467BE34F" w14:textId="77777777" w:rsidR="0050417F" w:rsidRPr="0050417F" w:rsidRDefault="0050417F" w:rsidP="0050417F">
            <w:pPr>
              <w:keepLines/>
              <w:spacing w:before="120"/>
              <w:rPr>
                <w:rFonts w:eastAsia="MS Mincho" w:cs="Arial"/>
                <w:szCs w:val="20"/>
              </w:rPr>
            </w:pPr>
            <w:r w:rsidRPr="0050417F">
              <w:rPr>
                <w:rFonts w:eastAsia="MS Mincho" w:cs="Arial"/>
                <w:szCs w:val="20"/>
              </w:rPr>
              <w:t>stejná aspirační dráha pro otevřený i uzavřený náběrový systém</w:t>
            </w:r>
          </w:p>
        </w:tc>
        <w:tc>
          <w:tcPr>
            <w:tcW w:w="1276" w:type="dxa"/>
          </w:tcPr>
          <w:p w14:paraId="19CC251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47B6CF1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5EDFF5E" w14:textId="77777777" w:rsidTr="00720035">
        <w:tc>
          <w:tcPr>
            <w:tcW w:w="5245" w:type="dxa"/>
            <w:vAlign w:val="bottom"/>
          </w:tcPr>
          <w:p w14:paraId="77F57A9A" w14:textId="77777777" w:rsidR="0050417F" w:rsidRPr="0050417F" w:rsidRDefault="0050417F" w:rsidP="0050417F">
            <w:pPr>
              <w:keepLines/>
              <w:spacing w:before="120"/>
              <w:rPr>
                <w:rFonts w:eastAsia="MS Mincho" w:cs="Arial"/>
                <w:szCs w:val="20"/>
              </w:rPr>
            </w:pPr>
            <w:r w:rsidRPr="0050417F">
              <w:rPr>
                <w:rFonts w:eastAsia="MS Mincho" w:cs="Arial"/>
                <w:szCs w:val="20"/>
              </w:rPr>
              <w:t>zobrazení grafických výstupů, histogramů</w:t>
            </w:r>
          </w:p>
        </w:tc>
        <w:tc>
          <w:tcPr>
            <w:tcW w:w="1276" w:type="dxa"/>
          </w:tcPr>
          <w:p w14:paraId="1F6D593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4103480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5E058D0C" w14:textId="77777777" w:rsidTr="00720035">
        <w:tc>
          <w:tcPr>
            <w:tcW w:w="5245" w:type="dxa"/>
            <w:vAlign w:val="bottom"/>
          </w:tcPr>
          <w:p w14:paraId="066A8B0D" w14:textId="77777777" w:rsidR="0050417F" w:rsidRPr="0050417F" w:rsidRDefault="0050417F" w:rsidP="0050417F">
            <w:pPr>
              <w:keepLines/>
              <w:spacing w:before="120"/>
              <w:rPr>
                <w:rFonts w:eastAsia="MS Mincho" w:cs="Arial"/>
                <w:szCs w:val="20"/>
              </w:rPr>
            </w:pPr>
            <w:r w:rsidRPr="0050417F">
              <w:rPr>
                <w:rFonts w:eastAsia="MS Mincho" w:cs="Arial"/>
                <w:szCs w:val="20"/>
              </w:rPr>
              <w:t>automatická homogenizace jednotlivých vzorků před aspirací (nikoliv v kazetě)</w:t>
            </w:r>
          </w:p>
        </w:tc>
        <w:tc>
          <w:tcPr>
            <w:tcW w:w="1276" w:type="dxa"/>
          </w:tcPr>
          <w:p w14:paraId="4065134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0A1E61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B21FE96" w14:textId="77777777" w:rsidTr="00720035">
        <w:tc>
          <w:tcPr>
            <w:tcW w:w="5245" w:type="dxa"/>
            <w:vAlign w:val="bottom"/>
          </w:tcPr>
          <w:p w14:paraId="1600ED24" w14:textId="77777777" w:rsidR="0050417F" w:rsidRPr="0050417F" w:rsidRDefault="0050417F" w:rsidP="0050417F">
            <w:pPr>
              <w:keepLines/>
              <w:spacing w:before="120"/>
              <w:rPr>
                <w:rFonts w:eastAsia="MS Mincho" w:cs="Arial"/>
                <w:szCs w:val="20"/>
              </w:rPr>
            </w:pPr>
            <w:r w:rsidRPr="0050417F">
              <w:rPr>
                <w:rFonts w:eastAsia="MS Mincho" w:cs="Arial"/>
                <w:szCs w:val="20"/>
              </w:rPr>
              <w:t>oboustranná komunikace s LIS (host querry systém) s plným externím řízením módu měření podle pacienta tzv. Full Random Access</w:t>
            </w:r>
          </w:p>
        </w:tc>
        <w:tc>
          <w:tcPr>
            <w:tcW w:w="1276" w:type="dxa"/>
          </w:tcPr>
          <w:p w14:paraId="3C962C9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83A2EC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A2DCBEC" w14:textId="77777777" w:rsidTr="00720035">
        <w:tc>
          <w:tcPr>
            <w:tcW w:w="5245" w:type="dxa"/>
            <w:vAlign w:val="bottom"/>
          </w:tcPr>
          <w:p w14:paraId="023075FF" w14:textId="77777777" w:rsidR="0050417F" w:rsidRPr="0050417F" w:rsidRDefault="0050417F" w:rsidP="0050417F">
            <w:pPr>
              <w:keepLines/>
              <w:spacing w:before="120"/>
              <w:rPr>
                <w:rFonts w:eastAsia="MS Mincho" w:cs="Arial"/>
                <w:szCs w:val="20"/>
              </w:rPr>
            </w:pPr>
            <w:r w:rsidRPr="0050417F">
              <w:rPr>
                <w:rFonts w:eastAsia="MS Mincho" w:cs="Arial"/>
                <w:szCs w:val="20"/>
              </w:rPr>
              <w:t>systém musí podporovat rozhraní TCP / IP nebo RS232 pro bezproblémovou komunikaci, export a zpracování dat</w:t>
            </w:r>
          </w:p>
        </w:tc>
        <w:tc>
          <w:tcPr>
            <w:tcW w:w="1276" w:type="dxa"/>
          </w:tcPr>
          <w:p w14:paraId="182B5F4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52F2DDA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D3CBBF5" w14:textId="77777777" w:rsidTr="00720035">
        <w:tc>
          <w:tcPr>
            <w:tcW w:w="5245" w:type="dxa"/>
            <w:vAlign w:val="bottom"/>
          </w:tcPr>
          <w:p w14:paraId="59F4F36D" w14:textId="77777777" w:rsidR="0050417F" w:rsidRPr="0050417F" w:rsidRDefault="0050417F" w:rsidP="0050417F">
            <w:pPr>
              <w:keepLines/>
              <w:spacing w:before="120"/>
              <w:rPr>
                <w:rFonts w:eastAsia="MS Mincho" w:cs="Arial"/>
                <w:szCs w:val="20"/>
              </w:rPr>
            </w:pPr>
            <w:r w:rsidRPr="0050417F">
              <w:rPr>
                <w:rFonts w:eastAsia="MS Mincho" w:cs="Arial"/>
                <w:szCs w:val="20"/>
              </w:rPr>
              <w:t>databáze měření s vyhodnocením tzv. Delta Check</w:t>
            </w:r>
          </w:p>
        </w:tc>
        <w:tc>
          <w:tcPr>
            <w:tcW w:w="1276" w:type="dxa"/>
          </w:tcPr>
          <w:p w14:paraId="252B7C8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0544DE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570D65B1" w14:textId="77777777" w:rsidTr="00720035">
        <w:tc>
          <w:tcPr>
            <w:tcW w:w="5245" w:type="dxa"/>
            <w:vAlign w:val="center"/>
          </w:tcPr>
          <w:p w14:paraId="6E036C36" w14:textId="77777777" w:rsidR="0050417F" w:rsidRPr="0050417F" w:rsidRDefault="0050417F" w:rsidP="0050417F">
            <w:pPr>
              <w:keepLines/>
              <w:spacing w:before="120"/>
              <w:rPr>
                <w:rFonts w:eastAsia="MS Mincho" w:cs="Arial"/>
                <w:szCs w:val="20"/>
              </w:rPr>
            </w:pPr>
            <w:r w:rsidRPr="0050417F">
              <w:rPr>
                <w:rFonts w:eastAsia="MS Mincho" w:cs="Arial"/>
                <w:szCs w:val="20"/>
              </w:rPr>
              <w:t>QC na komerčním kontrolním materiálu a monitoring klouzavých průměrů (moving average) na nativních pacientských vzorcích</w:t>
            </w:r>
          </w:p>
        </w:tc>
        <w:tc>
          <w:tcPr>
            <w:tcW w:w="1276" w:type="dxa"/>
          </w:tcPr>
          <w:p w14:paraId="145B350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A0E061E"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26A25859" w14:textId="77777777" w:rsidTr="00720035">
        <w:tc>
          <w:tcPr>
            <w:tcW w:w="5245" w:type="dxa"/>
            <w:vAlign w:val="center"/>
          </w:tcPr>
          <w:p w14:paraId="38032B5E" w14:textId="77777777" w:rsidR="0050417F" w:rsidRPr="0050417F" w:rsidRDefault="0050417F" w:rsidP="0050417F">
            <w:pPr>
              <w:keepLines/>
              <w:spacing w:before="120"/>
              <w:rPr>
                <w:rFonts w:eastAsia="MS Mincho" w:cs="Arial"/>
                <w:szCs w:val="20"/>
              </w:rPr>
            </w:pPr>
            <w:r w:rsidRPr="0050417F">
              <w:rPr>
                <w:rFonts w:eastAsia="MS Mincho" w:cs="Arial"/>
                <w:szCs w:val="20"/>
              </w:rPr>
              <w:t>elektronický management reagencií (umožňující dohledatelnost použitých reagencií)</w:t>
            </w:r>
          </w:p>
        </w:tc>
        <w:tc>
          <w:tcPr>
            <w:tcW w:w="1276" w:type="dxa"/>
          </w:tcPr>
          <w:p w14:paraId="6CA3767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56055BD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089F3D0" w14:textId="77777777" w:rsidTr="00720035">
        <w:tc>
          <w:tcPr>
            <w:tcW w:w="5245" w:type="dxa"/>
            <w:vAlign w:val="center"/>
          </w:tcPr>
          <w:p w14:paraId="3D241C1C" w14:textId="77777777" w:rsidR="0050417F" w:rsidRPr="0050417F" w:rsidRDefault="0050417F" w:rsidP="0050417F">
            <w:pPr>
              <w:keepLines/>
              <w:spacing w:before="120"/>
              <w:rPr>
                <w:rFonts w:eastAsia="MS Mincho" w:cs="Arial"/>
                <w:szCs w:val="20"/>
              </w:rPr>
            </w:pPr>
            <w:r w:rsidRPr="0050417F">
              <w:rPr>
                <w:rFonts w:eastAsia="MS Mincho" w:cs="Arial"/>
                <w:szCs w:val="20"/>
              </w:rPr>
              <w:t>kapacita databáze dostupných výsledků pro min. 100 000 záznamů u hlavního analyzátoru</w:t>
            </w:r>
          </w:p>
        </w:tc>
        <w:tc>
          <w:tcPr>
            <w:tcW w:w="1276" w:type="dxa"/>
          </w:tcPr>
          <w:p w14:paraId="2D57267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36BFB0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3714C65" w14:textId="77777777" w:rsidTr="00720035">
        <w:tc>
          <w:tcPr>
            <w:tcW w:w="5245" w:type="dxa"/>
            <w:vAlign w:val="center"/>
          </w:tcPr>
          <w:p w14:paraId="275B5C37" w14:textId="77777777" w:rsidR="0050417F" w:rsidRPr="0050417F" w:rsidRDefault="0050417F" w:rsidP="0050417F">
            <w:pPr>
              <w:keepLines/>
              <w:spacing w:before="120"/>
              <w:rPr>
                <w:rFonts w:eastAsia="MS Mincho" w:cs="Arial"/>
                <w:szCs w:val="20"/>
              </w:rPr>
            </w:pPr>
            <w:r w:rsidRPr="0050417F">
              <w:rPr>
                <w:rFonts w:eastAsia="MS Mincho" w:cs="Arial"/>
                <w:szCs w:val="20"/>
              </w:rPr>
              <w:t>automatická záloha dat v pravidelných intervalech bez nutnosti zásahu obsluhy</w:t>
            </w:r>
          </w:p>
        </w:tc>
        <w:tc>
          <w:tcPr>
            <w:tcW w:w="1276" w:type="dxa"/>
          </w:tcPr>
          <w:p w14:paraId="76ED61C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BCDDBAE"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2DF9956A" w14:textId="77777777" w:rsidTr="00720035">
        <w:tc>
          <w:tcPr>
            <w:tcW w:w="5245" w:type="dxa"/>
            <w:vAlign w:val="bottom"/>
          </w:tcPr>
          <w:p w14:paraId="5C8CA2A5" w14:textId="77777777" w:rsidR="0050417F" w:rsidRPr="0050417F" w:rsidRDefault="0050417F" w:rsidP="0050417F">
            <w:pPr>
              <w:keepLines/>
              <w:spacing w:before="120"/>
              <w:rPr>
                <w:rFonts w:eastAsia="MS Mincho" w:cs="Arial"/>
                <w:szCs w:val="20"/>
              </w:rPr>
            </w:pPr>
            <w:r w:rsidRPr="0050417F">
              <w:rPr>
                <w:rFonts w:eastAsia="MS Mincho" w:cs="Arial"/>
                <w:szCs w:val="20"/>
              </w:rPr>
              <w:t>vzdálená servisní správa a monitoring musí splňovat kritéria GDPR – automatické skrytí citlivých osobních údajů pro servisní organizaci. Realizace služby vzdálené správy šifrovaným spojením bez účasti třetích stran.</w:t>
            </w:r>
          </w:p>
        </w:tc>
        <w:tc>
          <w:tcPr>
            <w:tcW w:w="1276" w:type="dxa"/>
          </w:tcPr>
          <w:p w14:paraId="1A4879C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9744EA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BF8597D" w14:textId="77777777" w:rsidTr="00720035">
        <w:tc>
          <w:tcPr>
            <w:tcW w:w="5245" w:type="dxa"/>
            <w:vAlign w:val="center"/>
          </w:tcPr>
          <w:p w14:paraId="5AE5C0F3"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b/>
                <w:szCs w:val="20"/>
                <w:lang w:eastAsia="ja-JP"/>
              </w:rPr>
              <w:t>NÁTĚROVÝ A BARVICÍ AUTOMAT</w:t>
            </w:r>
          </w:p>
        </w:tc>
        <w:tc>
          <w:tcPr>
            <w:tcW w:w="1276" w:type="dxa"/>
          </w:tcPr>
          <w:p w14:paraId="3B28020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8E2483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B64CADB" w14:textId="77777777" w:rsidTr="00720035">
        <w:tc>
          <w:tcPr>
            <w:tcW w:w="5245" w:type="dxa"/>
            <w:vAlign w:val="center"/>
          </w:tcPr>
          <w:p w14:paraId="318DFA83"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nastavení tloušťky a délky nátěru dle hodnoty hematokritu (automaticky při vyšetření na hematologickém analyzátoru, manuálně při práci pouze s nátěrovým a barvícím automatem</w:t>
            </w:r>
          </w:p>
        </w:tc>
        <w:tc>
          <w:tcPr>
            <w:tcW w:w="1276" w:type="dxa"/>
          </w:tcPr>
          <w:p w14:paraId="2ED02ED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3A27B6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627B8F8" w14:textId="77777777" w:rsidTr="00720035">
        <w:tc>
          <w:tcPr>
            <w:tcW w:w="5245" w:type="dxa"/>
            <w:vAlign w:val="center"/>
          </w:tcPr>
          <w:p w14:paraId="34C6DC05"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automatizované provedení nátěru podle hematokritu vzorku a jeho nabarvení</w:t>
            </w:r>
          </w:p>
        </w:tc>
        <w:tc>
          <w:tcPr>
            <w:tcW w:w="1276" w:type="dxa"/>
          </w:tcPr>
          <w:p w14:paraId="4BF388F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58D9CA0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B0C9C72" w14:textId="77777777" w:rsidTr="00720035">
        <w:tc>
          <w:tcPr>
            <w:tcW w:w="5245" w:type="dxa"/>
            <w:vAlign w:val="center"/>
          </w:tcPr>
          <w:p w14:paraId="2CEFE0CE"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lastRenderedPageBreak/>
              <w:t>několikanásobné použití barvícího roztoku</w:t>
            </w:r>
          </w:p>
        </w:tc>
        <w:tc>
          <w:tcPr>
            <w:tcW w:w="1276" w:type="dxa"/>
          </w:tcPr>
          <w:p w14:paraId="0990091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75B9916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D899B1B" w14:textId="77777777" w:rsidTr="00720035">
        <w:tc>
          <w:tcPr>
            <w:tcW w:w="5245" w:type="dxa"/>
            <w:vAlign w:val="center"/>
          </w:tcPr>
          <w:p w14:paraId="5DDAB4E1"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barvení v samostatných kyvetách pro barvené nátěry, uzavřený okruh pro barvící roztoky</w:t>
            </w:r>
          </w:p>
        </w:tc>
        <w:tc>
          <w:tcPr>
            <w:tcW w:w="1276" w:type="dxa"/>
          </w:tcPr>
          <w:p w14:paraId="2A59F22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57AAC66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E4DBC98" w14:textId="77777777" w:rsidTr="00720035">
        <w:tc>
          <w:tcPr>
            <w:tcW w:w="5245" w:type="dxa"/>
            <w:vAlign w:val="bottom"/>
          </w:tcPr>
          <w:p w14:paraId="33103E2A"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identifikace vzorku potiskem nátěrového sklíčka (minim. datem a čárovým kódem)</w:t>
            </w:r>
          </w:p>
        </w:tc>
        <w:tc>
          <w:tcPr>
            <w:tcW w:w="1276" w:type="dxa"/>
          </w:tcPr>
          <w:p w14:paraId="112DA58E"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F34F95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04A8242" w14:textId="77777777" w:rsidTr="00720035">
        <w:tc>
          <w:tcPr>
            <w:tcW w:w="5245" w:type="dxa"/>
            <w:vAlign w:val="bottom"/>
          </w:tcPr>
          <w:p w14:paraId="1748EC16"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rychlost min. 30 nátěrů za hodinu</w:t>
            </w:r>
          </w:p>
        </w:tc>
        <w:tc>
          <w:tcPr>
            <w:tcW w:w="1276" w:type="dxa"/>
          </w:tcPr>
          <w:p w14:paraId="6395CBC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4B8601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96BD77D" w14:textId="77777777" w:rsidTr="00720035">
        <w:tc>
          <w:tcPr>
            <w:tcW w:w="5245" w:type="dxa"/>
            <w:vAlign w:val="bottom"/>
          </w:tcPr>
          <w:p w14:paraId="3573F126"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možnost obarvení již provedeného nátěru,</w:t>
            </w:r>
          </w:p>
          <w:p w14:paraId="3BF70A1C"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možnost zhotovení nátěru bez obarvení</w:t>
            </w:r>
          </w:p>
        </w:tc>
        <w:tc>
          <w:tcPr>
            <w:tcW w:w="1276" w:type="dxa"/>
          </w:tcPr>
          <w:p w14:paraId="0F4B9CB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2C778A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36F12DB" w14:textId="77777777" w:rsidTr="00720035">
        <w:tc>
          <w:tcPr>
            <w:tcW w:w="5245" w:type="dxa"/>
            <w:vAlign w:val="bottom"/>
          </w:tcPr>
          <w:p w14:paraId="59369AD2"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 xml:space="preserve">možnost nátěrů a barvení z mikrozkumavek; maximální aspirovaný objem z mikrozkumavek 60 </w:t>
            </w:r>
            <w:r w:rsidRPr="0050417F">
              <w:rPr>
                <w:rFonts w:ascii="Symbol" w:eastAsia="MS Mincho" w:hAnsi="Symbol" w:cs="Arial"/>
                <w:szCs w:val="20"/>
                <w:lang w:eastAsia="ja-JP"/>
              </w:rPr>
              <w:t></w:t>
            </w:r>
            <w:r w:rsidRPr="0050417F">
              <w:rPr>
                <w:rFonts w:eastAsia="MS Mincho" w:cs="Arial"/>
                <w:szCs w:val="20"/>
                <w:lang w:eastAsia="ja-JP"/>
              </w:rPr>
              <w:t>l</w:t>
            </w:r>
          </w:p>
        </w:tc>
        <w:tc>
          <w:tcPr>
            <w:tcW w:w="1276" w:type="dxa"/>
          </w:tcPr>
          <w:p w14:paraId="1EDE3DE9"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4EF9E26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04D32A7" w14:textId="77777777" w:rsidTr="00720035">
        <w:tc>
          <w:tcPr>
            <w:tcW w:w="5245" w:type="dxa"/>
            <w:vAlign w:val="bottom"/>
          </w:tcPr>
          <w:p w14:paraId="3733576A"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automatický posun vzorků v originálních stojáncích z hematologického analyzátoru a následný automatický přesun do digitální morfologie bez zásahu obsluhy – plná automatizace s minimalizací kontaktu s obsluhou</w:t>
            </w:r>
          </w:p>
        </w:tc>
        <w:tc>
          <w:tcPr>
            <w:tcW w:w="1276" w:type="dxa"/>
          </w:tcPr>
          <w:p w14:paraId="47AD610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16F925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556AB3DC" w14:textId="77777777" w:rsidTr="00720035">
        <w:tc>
          <w:tcPr>
            <w:tcW w:w="5245" w:type="dxa"/>
            <w:vAlign w:val="bottom"/>
          </w:tcPr>
          <w:p w14:paraId="7C9CE27E"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t>automatický proces sušení</w:t>
            </w:r>
          </w:p>
        </w:tc>
        <w:tc>
          <w:tcPr>
            <w:tcW w:w="1276" w:type="dxa"/>
          </w:tcPr>
          <w:p w14:paraId="29A9F3F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7800E55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FFBD348" w14:textId="77777777" w:rsidTr="00720035">
        <w:tc>
          <w:tcPr>
            <w:tcW w:w="5245" w:type="dxa"/>
            <w:vAlign w:val="bottom"/>
          </w:tcPr>
          <w:p w14:paraId="7982F1EF" w14:textId="77777777" w:rsidR="0050417F" w:rsidRPr="0050417F" w:rsidRDefault="0050417F" w:rsidP="0050417F">
            <w:pPr>
              <w:suppressAutoHyphens/>
              <w:contextualSpacing/>
              <w:jc w:val="both"/>
              <w:rPr>
                <w:rFonts w:cs="Arial"/>
                <w:szCs w:val="20"/>
                <w:lang w:eastAsia="en-US"/>
              </w:rPr>
            </w:pPr>
            <w:r w:rsidRPr="0050417F">
              <w:rPr>
                <w:rFonts w:cs="Arial"/>
                <w:b/>
                <w:szCs w:val="20"/>
                <w:lang w:eastAsia="en-US"/>
              </w:rPr>
              <w:t>Obslužní software pro správu linky a záložního systému</w:t>
            </w:r>
          </w:p>
        </w:tc>
        <w:tc>
          <w:tcPr>
            <w:tcW w:w="1276" w:type="dxa"/>
          </w:tcPr>
          <w:p w14:paraId="2F88570F" w14:textId="77777777" w:rsidR="0050417F" w:rsidRPr="0050417F" w:rsidRDefault="0050417F" w:rsidP="0050417F">
            <w:pPr>
              <w:jc w:val="center"/>
              <w:rPr>
                <w:rFonts w:ascii="Calibri" w:hAnsi="Calibri" w:cs="Calibri"/>
                <w:color w:val="FF0000"/>
                <w:szCs w:val="20"/>
              </w:rPr>
            </w:pPr>
          </w:p>
        </w:tc>
        <w:tc>
          <w:tcPr>
            <w:tcW w:w="3112" w:type="dxa"/>
          </w:tcPr>
          <w:p w14:paraId="1C80B065" w14:textId="77777777" w:rsidR="0050417F" w:rsidRPr="0050417F" w:rsidRDefault="0050417F" w:rsidP="0050417F">
            <w:pPr>
              <w:jc w:val="center"/>
              <w:rPr>
                <w:rFonts w:ascii="Calibri" w:hAnsi="Calibri" w:cs="Calibri"/>
                <w:color w:val="FF0000"/>
                <w:szCs w:val="20"/>
              </w:rPr>
            </w:pPr>
          </w:p>
        </w:tc>
      </w:tr>
      <w:tr w:rsidR="0050417F" w:rsidRPr="0050417F" w14:paraId="646F9E60" w14:textId="77777777" w:rsidTr="00720035">
        <w:tc>
          <w:tcPr>
            <w:tcW w:w="5245" w:type="dxa"/>
            <w:vAlign w:val="bottom"/>
          </w:tcPr>
          <w:p w14:paraId="4AE53AA9"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součástí dodávky musí být speciální validační SW pro automatickou validaci a nastavení dle specifikací zákazníka</w:t>
            </w:r>
          </w:p>
        </w:tc>
        <w:tc>
          <w:tcPr>
            <w:tcW w:w="1276" w:type="dxa"/>
          </w:tcPr>
          <w:p w14:paraId="5708468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738585E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2A3647E" w14:textId="77777777" w:rsidTr="00720035">
        <w:tc>
          <w:tcPr>
            <w:tcW w:w="5245" w:type="dxa"/>
            <w:vAlign w:val="bottom"/>
          </w:tcPr>
          <w:p w14:paraId="291BBB98"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programové vybavení (SW) řídí automatické zpracování vzorku analyzátory dle demografických dat, srovnání aktuálních a předchozích výsledků pacienta a kontrolující technické podmínky analýzy</w:t>
            </w:r>
          </w:p>
        </w:tc>
        <w:tc>
          <w:tcPr>
            <w:tcW w:w="1276" w:type="dxa"/>
          </w:tcPr>
          <w:p w14:paraId="27F86D3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082BD4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276502B" w14:textId="77777777" w:rsidTr="00720035">
        <w:tc>
          <w:tcPr>
            <w:tcW w:w="5245" w:type="dxa"/>
            <w:vAlign w:val="bottom"/>
          </w:tcPr>
          <w:p w14:paraId="4153159C"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správa dat pacientů: možnost zobrazení demografických dat, organizačních dat (jméno lékaře, oddělení, komentáře), vkládání nových pacientů, vyhledávací funkce, sledování výsledků pacienta v čase atd.</w:t>
            </w:r>
          </w:p>
        </w:tc>
        <w:tc>
          <w:tcPr>
            <w:tcW w:w="1276" w:type="dxa"/>
          </w:tcPr>
          <w:p w14:paraId="2B70CCD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21700B8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8B8E842" w14:textId="77777777" w:rsidTr="00720035">
        <w:tc>
          <w:tcPr>
            <w:tcW w:w="5245" w:type="dxa"/>
            <w:vAlign w:val="bottom"/>
          </w:tcPr>
          <w:p w14:paraId="6FEE6892"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zobrazení kompletních informací o vzorku, komentářů ke vzorku včetně hlášení analyzátoru, kompletní výsledky včetně grafických dat, možnost vyhledávání podle čísla vzorku, jména pacienta atd.</w:t>
            </w:r>
          </w:p>
        </w:tc>
        <w:tc>
          <w:tcPr>
            <w:tcW w:w="1276" w:type="dxa"/>
          </w:tcPr>
          <w:p w14:paraId="282E98E9"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EACDD7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FD49089" w14:textId="77777777" w:rsidTr="00720035">
        <w:tc>
          <w:tcPr>
            <w:tcW w:w="5245" w:type="dxa"/>
            <w:vAlign w:val="bottom"/>
          </w:tcPr>
          <w:p w14:paraId="18B31780"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lastRenderedPageBreak/>
              <w:t>SW a HW pro automatickou technickou validaci výsledků a propojení do LIS, automatická kontrola z LIS</w:t>
            </w:r>
          </w:p>
        </w:tc>
        <w:tc>
          <w:tcPr>
            <w:tcW w:w="1276" w:type="dxa"/>
          </w:tcPr>
          <w:p w14:paraId="2999561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7A88092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35E907B" w14:textId="77777777" w:rsidTr="00720035">
        <w:tc>
          <w:tcPr>
            <w:tcW w:w="5245" w:type="dxa"/>
            <w:vAlign w:val="bottom"/>
          </w:tcPr>
          <w:p w14:paraId="28B9B069"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validace výsledků z jednoho místa pro linku vč. digitální morfologie</w:t>
            </w:r>
          </w:p>
        </w:tc>
        <w:tc>
          <w:tcPr>
            <w:tcW w:w="1276" w:type="dxa"/>
          </w:tcPr>
          <w:p w14:paraId="76B18169"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2BE8E1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EA0EBCE" w14:textId="77777777" w:rsidTr="00720035">
        <w:tc>
          <w:tcPr>
            <w:tcW w:w="5245" w:type="dxa"/>
            <w:vAlign w:val="bottom"/>
          </w:tcPr>
          <w:p w14:paraId="4DD97D06"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 xml:space="preserve">možnost validace vzorků vzdálené mimo linku v rámci NPK, a.s. </w:t>
            </w:r>
          </w:p>
        </w:tc>
        <w:tc>
          <w:tcPr>
            <w:tcW w:w="1276" w:type="dxa"/>
          </w:tcPr>
          <w:p w14:paraId="2B9E2DD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E506E3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3AE73D3" w14:textId="77777777" w:rsidTr="00720035">
        <w:tc>
          <w:tcPr>
            <w:tcW w:w="5245" w:type="dxa"/>
            <w:vAlign w:val="bottom"/>
          </w:tcPr>
          <w:p w14:paraId="1E82FDC1"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možnost telehematologie – morfologie vzorků vzdálené mimo linku v rámci NPK, a.s.</w:t>
            </w:r>
          </w:p>
        </w:tc>
        <w:tc>
          <w:tcPr>
            <w:tcW w:w="1276" w:type="dxa"/>
          </w:tcPr>
          <w:p w14:paraId="224D864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324BE8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74FCA34" w14:textId="77777777" w:rsidTr="00720035">
        <w:tc>
          <w:tcPr>
            <w:tcW w:w="5245" w:type="dxa"/>
            <w:vAlign w:val="bottom"/>
          </w:tcPr>
          <w:p w14:paraId="569E2843"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SW pro nastavení uživatelsky definovatelných pravidel a jejich aktivace na základě předchozích výsledků za dané období (nikoliv pouze z posledního vzorku), nastavení pravidel s využitím specifických parametrů pacienta (diagnóza, oddělení, lékař), předání informací do LIS</w:t>
            </w:r>
          </w:p>
        </w:tc>
        <w:tc>
          <w:tcPr>
            <w:tcW w:w="1276" w:type="dxa"/>
          </w:tcPr>
          <w:p w14:paraId="0C7B7E8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78B232B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59263EBA" w14:textId="77777777" w:rsidTr="00720035">
        <w:tc>
          <w:tcPr>
            <w:tcW w:w="5245" w:type="dxa"/>
            <w:vAlign w:val="bottom"/>
          </w:tcPr>
          <w:p w14:paraId="7B0D0A53"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obslužný SW s uživatelsky definovatelnými pravidly (SOP) – nastavení dle podmínek laboratoře před instalací zařízení</w:t>
            </w:r>
          </w:p>
        </w:tc>
        <w:tc>
          <w:tcPr>
            <w:tcW w:w="1276" w:type="dxa"/>
          </w:tcPr>
          <w:p w14:paraId="3E51FF6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ABFBF99"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B5261DE" w14:textId="77777777" w:rsidTr="00720035">
        <w:tc>
          <w:tcPr>
            <w:tcW w:w="5245" w:type="dxa"/>
            <w:vAlign w:val="bottom"/>
          </w:tcPr>
          <w:p w14:paraId="2B413FDC"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zobrazení seznamu vzorků, které během rutinní analýzy splnily kritérium pro vyžádání další operace podle SOP laboratoře</w:t>
            </w:r>
          </w:p>
        </w:tc>
        <w:tc>
          <w:tcPr>
            <w:tcW w:w="1276" w:type="dxa"/>
          </w:tcPr>
          <w:p w14:paraId="013BB00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9DD56A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25E2985D" w14:textId="77777777" w:rsidTr="00720035">
        <w:tc>
          <w:tcPr>
            <w:tcW w:w="5245" w:type="dxa"/>
            <w:vAlign w:val="bottom"/>
          </w:tcPr>
          <w:p w14:paraId="52816A19"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automatická validace výsledků nastavenými uživatelskými pravidly</w:t>
            </w:r>
          </w:p>
        </w:tc>
        <w:tc>
          <w:tcPr>
            <w:tcW w:w="1276" w:type="dxa"/>
          </w:tcPr>
          <w:p w14:paraId="49D0230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50DC137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062856F" w14:textId="77777777" w:rsidTr="00720035">
        <w:tc>
          <w:tcPr>
            <w:tcW w:w="5245" w:type="dxa"/>
            <w:vAlign w:val="bottom"/>
          </w:tcPr>
          <w:p w14:paraId="00FBF81D"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řízení technické validace vzorků, které nesplnily kritéria pro automatické odeslání do LIS z důvodu nespolehlivosti měření, abnormálního výsledku a dalších kritérií podle SOP laboratoře</w:t>
            </w:r>
          </w:p>
        </w:tc>
        <w:tc>
          <w:tcPr>
            <w:tcW w:w="1276" w:type="dxa"/>
          </w:tcPr>
          <w:p w14:paraId="5D6A193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4A566B6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ABD07A5" w14:textId="77777777" w:rsidTr="00720035">
        <w:tc>
          <w:tcPr>
            <w:tcW w:w="5245" w:type="dxa"/>
            <w:vAlign w:val="bottom"/>
          </w:tcPr>
          <w:p w14:paraId="0EA5F6AD"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 xml:space="preserve">sledování aktuálního stavu rutinní analýzy: registrované vzorky, vzorky v analytickém procesu, vzorky čekající na validaci, vzorky validované ale neodeslané do LIS, vzorky odeslané do LIS, výstrahy systému, stav komunikace atd. </w:t>
            </w:r>
          </w:p>
        </w:tc>
        <w:tc>
          <w:tcPr>
            <w:tcW w:w="1276" w:type="dxa"/>
          </w:tcPr>
          <w:p w14:paraId="0FF50E5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4734AC2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1DAEF67" w14:textId="77777777" w:rsidTr="00720035">
        <w:tc>
          <w:tcPr>
            <w:tcW w:w="5245" w:type="dxa"/>
            <w:vAlign w:val="bottom"/>
          </w:tcPr>
          <w:p w14:paraId="50DB169D"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zadání uživatelských přístupových práv, zaznamenání a dohledatelnost všech operací každého uživatele</w:t>
            </w:r>
          </w:p>
        </w:tc>
        <w:tc>
          <w:tcPr>
            <w:tcW w:w="1276" w:type="dxa"/>
          </w:tcPr>
          <w:p w14:paraId="7FFF5E6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2D649D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D771164" w14:textId="77777777" w:rsidTr="00720035">
        <w:tc>
          <w:tcPr>
            <w:tcW w:w="5245" w:type="dxa"/>
            <w:vAlign w:val="bottom"/>
          </w:tcPr>
          <w:p w14:paraId="771F34C2" w14:textId="77777777" w:rsidR="0050417F" w:rsidRPr="0050417F" w:rsidRDefault="0050417F" w:rsidP="0050417F">
            <w:pPr>
              <w:keepLines/>
              <w:spacing w:before="120"/>
              <w:rPr>
                <w:rFonts w:asciiTheme="minorHAnsi" w:eastAsia="MS Mincho" w:hAnsiTheme="minorHAnsi"/>
                <w:szCs w:val="22"/>
                <w:lang w:eastAsia="ja-JP"/>
              </w:rPr>
            </w:pPr>
            <w:r w:rsidRPr="0050417F">
              <w:rPr>
                <w:rFonts w:eastAsia="MS Mincho" w:cs="Arial"/>
                <w:szCs w:val="20"/>
                <w:lang w:eastAsia="ja-JP"/>
              </w:rPr>
              <w:t>řízení preanalytických, analytických a postanalytických procesů dle SOP laboratoře</w:t>
            </w:r>
          </w:p>
        </w:tc>
        <w:tc>
          <w:tcPr>
            <w:tcW w:w="1276" w:type="dxa"/>
          </w:tcPr>
          <w:p w14:paraId="0337EE7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3C3113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F1D5F68" w14:textId="77777777" w:rsidTr="00720035">
        <w:tc>
          <w:tcPr>
            <w:tcW w:w="5245" w:type="dxa"/>
            <w:vAlign w:val="bottom"/>
          </w:tcPr>
          <w:p w14:paraId="1BE30797" w14:textId="77777777" w:rsidR="0050417F" w:rsidRPr="0050417F" w:rsidRDefault="0050417F" w:rsidP="0050417F">
            <w:pPr>
              <w:keepLines/>
              <w:spacing w:before="120"/>
              <w:rPr>
                <w:rFonts w:eastAsia="MS Mincho" w:cs="Arial"/>
                <w:szCs w:val="20"/>
                <w:lang w:eastAsia="ja-JP"/>
              </w:rPr>
            </w:pPr>
            <w:r w:rsidRPr="0050417F">
              <w:rPr>
                <w:rFonts w:eastAsia="MS Mincho" w:cs="Arial"/>
                <w:szCs w:val="20"/>
                <w:lang w:eastAsia="ja-JP"/>
              </w:rPr>
              <w:lastRenderedPageBreak/>
              <w:t xml:space="preserve">možnost neustálého internetového propojení všech analyzátorů se servisním střediskem, možnost dálkové správy s ohledem na dodržení GDPR. Zabezpečení dat za pomoci VPN bez účasti třetí strany. Dodržení podmínky zajištění, aby komunikace za použití VPN nebyla provozována přes servery mimo EU v rámci zabezpečení ochrany citlivých údajů. </w:t>
            </w:r>
          </w:p>
        </w:tc>
        <w:tc>
          <w:tcPr>
            <w:tcW w:w="1276" w:type="dxa"/>
          </w:tcPr>
          <w:p w14:paraId="6FA6F2A9"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72B8302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9F2DF99" w14:textId="77777777" w:rsidTr="00720035">
        <w:tc>
          <w:tcPr>
            <w:tcW w:w="5245" w:type="dxa"/>
          </w:tcPr>
          <w:p w14:paraId="44E1D4A6" w14:textId="77777777" w:rsidR="0050417F" w:rsidRPr="0050417F" w:rsidRDefault="0050417F" w:rsidP="0050417F">
            <w:pPr>
              <w:rPr>
                <w:rFonts w:cs="Arial"/>
                <w:szCs w:val="20"/>
              </w:rPr>
            </w:pPr>
            <w:r w:rsidRPr="0050417F">
              <w:rPr>
                <w:rFonts w:cs="Arial"/>
                <w:szCs w:val="20"/>
              </w:rPr>
              <w:t>zajištění instalace technologie na náklady dodavatele podle zásad SLP v klinických laboratořích a zásad SVP, provedení dokumentované instalační kvalifikace, jejíž součástí bude potřebná validace a kalibrace metod za podmínky nepřerušení provozu laboratoří na dobu delší než 12 hodin</w:t>
            </w:r>
          </w:p>
        </w:tc>
        <w:tc>
          <w:tcPr>
            <w:tcW w:w="1276" w:type="dxa"/>
          </w:tcPr>
          <w:p w14:paraId="26A7C32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CF6FA7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26A33DF8" w14:textId="77777777" w:rsidTr="00720035">
        <w:tc>
          <w:tcPr>
            <w:tcW w:w="5245" w:type="dxa"/>
          </w:tcPr>
          <w:p w14:paraId="7578D7E8" w14:textId="77777777" w:rsidR="0050417F" w:rsidRPr="0050417F" w:rsidRDefault="0050417F" w:rsidP="0050417F">
            <w:pPr>
              <w:suppressAutoHyphens/>
              <w:contextualSpacing/>
              <w:jc w:val="both"/>
              <w:rPr>
                <w:rFonts w:cs="Arial"/>
                <w:b/>
                <w:szCs w:val="20"/>
                <w:lang w:eastAsia="en-US"/>
              </w:rPr>
            </w:pPr>
            <w:r w:rsidRPr="0050417F">
              <w:rPr>
                <w:b/>
                <w:szCs w:val="20"/>
                <w:lang w:eastAsia="en-US"/>
              </w:rPr>
              <w:t xml:space="preserve">Požadavky na reagencie </w:t>
            </w:r>
            <w:r w:rsidRPr="0050417F">
              <w:rPr>
                <w:rFonts w:cs="Arial"/>
                <w:b/>
                <w:szCs w:val="20"/>
                <w:lang w:eastAsia="en-US"/>
              </w:rPr>
              <w:t>a originální provozní spotřební materiál</w:t>
            </w:r>
          </w:p>
        </w:tc>
        <w:tc>
          <w:tcPr>
            <w:tcW w:w="1276" w:type="dxa"/>
          </w:tcPr>
          <w:p w14:paraId="37FFCBB4" w14:textId="77777777" w:rsidR="0050417F" w:rsidRPr="0050417F" w:rsidRDefault="0050417F" w:rsidP="0050417F">
            <w:pPr>
              <w:jc w:val="center"/>
              <w:rPr>
                <w:rFonts w:ascii="Calibri" w:hAnsi="Calibri" w:cs="Calibri"/>
                <w:color w:val="FF0000"/>
                <w:szCs w:val="20"/>
              </w:rPr>
            </w:pPr>
          </w:p>
        </w:tc>
        <w:tc>
          <w:tcPr>
            <w:tcW w:w="3112" w:type="dxa"/>
          </w:tcPr>
          <w:p w14:paraId="6B368BEF" w14:textId="77777777" w:rsidR="0050417F" w:rsidRPr="0050417F" w:rsidRDefault="0050417F" w:rsidP="0050417F">
            <w:pPr>
              <w:jc w:val="center"/>
              <w:rPr>
                <w:rFonts w:ascii="Calibri" w:hAnsi="Calibri" w:cs="Calibri"/>
                <w:color w:val="FF0000"/>
                <w:szCs w:val="20"/>
              </w:rPr>
            </w:pPr>
          </w:p>
        </w:tc>
      </w:tr>
      <w:tr w:rsidR="0050417F" w:rsidRPr="0050417F" w14:paraId="566955E4" w14:textId="77777777" w:rsidTr="00720035">
        <w:tc>
          <w:tcPr>
            <w:tcW w:w="5245" w:type="dxa"/>
            <w:vAlign w:val="center"/>
          </w:tcPr>
          <w:p w14:paraId="5F8D2D88" w14:textId="77777777" w:rsidR="0050417F" w:rsidRPr="0050417F" w:rsidRDefault="0050417F" w:rsidP="0050417F">
            <w:pPr>
              <w:suppressAutoHyphens/>
              <w:contextualSpacing/>
              <w:jc w:val="both"/>
              <w:rPr>
                <w:bCs/>
                <w:szCs w:val="20"/>
                <w:lang w:eastAsia="en-US"/>
              </w:rPr>
            </w:pPr>
            <w:r w:rsidRPr="0050417F">
              <w:rPr>
                <w:rFonts w:cs="Arial"/>
                <w:bCs/>
                <w:szCs w:val="20"/>
                <w:lang w:eastAsia="en-US"/>
              </w:rPr>
              <w:t xml:space="preserve">CE, IVD - shoda s požadavky </w:t>
            </w:r>
            <w:r w:rsidRPr="0050417F">
              <w:rPr>
                <w:rFonts w:cs="Arial"/>
                <w:bCs/>
                <w:szCs w:val="20"/>
                <w:shd w:val="clear" w:color="auto" w:fill="FFFFFF"/>
                <w:lang w:eastAsia="en-US"/>
              </w:rPr>
              <w:t>Nařízení Evropského parlamentu a Rady (EU) 2017/745 </w:t>
            </w:r>
          </w:p>
        </w:tc>
        <w:tc>
          <w:tcPr>
            <w:tcW w:w="1276" w:type="dxa"/>
          </w:tcPr>
          <w:p w14:paraId="46189D7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395D96A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58600578" w14:textId="77777777" w:rsidTr="00720035">
        <w:tc>
          <w:tcPr>
            <w:tcW w:w="5245" w:type="dxa"/>
            <w:vAlign w:val="center"/>
          </w:tcPr>
          <w:p w14:paraId="2210E1C6" w14:textId="77777777" w:rsidR="0050417F" w:rsidRPr="0050417F" w:rsidRDefault="0050417F" w:rsidP="0050417F">
            <w:pPr>
              <w:suppressAutoHyphens/>
              <w:contextualSpacing/>
              <w:jc w:val="both"/>
              <w:rPr>
                <w:bCs/>
                <w:szCs w:val="20"/>
                <w:lang w:eastAsia="en-US"/>
              </w:rPr>
            </w:pPr>
            <w:r w:rsidRPr="0050417F">
              <w:rPr>
                <w:rFonts w:cs="Arial"/>
                <w:bCs/>
                <w:szCs w:val="20"/>
                <w:lang w:eastAsia="en-US"/>
              </w:rPr>
              <w:t xml:space="preserve">Zadavatel požaduje dodávat validované diagnostické reagencie, dodavatel poskytne a bude dále průběžně poskytovat aktuální validační protokoly materiálů a metodik.  </w:t>
            </w:r>
          </w:p>
        </w:tc>
        <w:tc>
          <w:tcPr>
            <w:tcW w:w="1276" w:type="dxa"/>
          </w:tcPr>
          <w:p w14:paraId="7CB22984"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59EF9CD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5C2760AC" w14:textId="77777777" w:rsidTr="00720035">
        <w:tc>
          <w:tcPr>
            <w:tcW w:w="5245" w:type="dxa"/>
            <w:vAlign w:val="center"/>
          </w:tcPr>
          <w:p w14:paraId="76BEBCFC" w14:textId="77777777" w:rsidR="0050417F" w:rsidRPr="0050417F" w:rsidRDefault="0050417F" w:rsidP="0050417F">
            <w:pPr>
              <w:suppressAutoHyphens/>
              <w:contextualSpacing/>
              <w:jc w:val="both"/>
              <w:rPr>
                <w:bCs/>
                <w:szCs w:val="20"/>
                <w:lang w:eastAsia="en-US"/>
              </w:rPr>
            </w:pPr>
            <w:r w:rsidRPr="0050417F">
              <w:rPr>
                <w:rFonts w:cs="Arial"/>
                <w:bCs/>
                <w:szCs w:val="20"/>
                <w:lang w:eastAsia="en-US"/>
              </w:rPr>
              <w:t xml:space="preserve">Zadavatel vyžaduje zajistit povinnost VIGILANCE (sledování všech dodávaných ZP IVD výrobků ke konečnému uživateli, neprodlené akce a reakce v souvislosti s vigilančními kroky výrobců a SUKLU se všemi povinnostmi a následky z jejich neplnění (např. náhrady škody v případě poškození pacienta atd., viz zákon č. 375/2022 Sb.). </w:t>
            </w:r>
          </w:p>
        </w:tc>
        <w:tc>
          <w:tcPr>
            <w:tcW w:w="1276" w:type="dxa"/>
          </w:tcPr>
          <w:p w14:paraId="0E64FB1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5300AE3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544AA45" w14:textId="77777777" w:rsidTr="00720035">
        <w:tc>
          <w:tcPr>
            <w:tcW w:w="5245" w:type="dxa"/>
            <w:vAlign w:val="center"/>
          </w:tcPr>
          <w:p w14:paraId="6DB47C46" w14:textId="77777777" w:rsidR="0050417F" w:rsidRPr="0050417F" w:rsidRDefault="0050417F" w:rsidP="0050417F">
            <w:pPr>
              <w:suppressAutoHyphens/>
              <w:contextualSpacing/>
              <w:jc w:val="both"/>
              <w:rPr>
                <w:bCs/>
                <w:szCs w:val="20"/>
                <w:lang w:eastAsia="en-US"/>
              </w:rPr>
            </w:pPr>
            <w:r w:rsidRPr="0050417F">
              <w:rPr>
                <w:rFonts w:cs="Arial"/>
                <w:bCs/>
                <w:iCs/>
                <w:szCs w:val="20"/>
                <w:lang w:eastAsia="en-US"/>
              </w:rPr>
              <w:t>Identifikace reagencií čárovým kódem nebo RFID čipem</w:t>
            </w:r>
          </w:p>
        </w:tc>
        <w:tc>
          <w:tcPr>
            <w:tcW w:w="1276" w:type="dxa"/>
          </w:tcPr>
          <w:p w14:paraId="401088C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555D3EF2"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AD04143" w14:textId="77777777" w:rsidTr="00720035">
        <w:tc>
          <w:tcPr>
            <w:tcW w:w="5245" w:type="dxa"/>
            <w:vAlign w:val="center"/>
          </w:tcPr>
          <w:p w14:paraId="66450988" w14:textId="77777777" w:rsidR="0050417F" w:rsidRPr="0050417F" w:rsidRDefault="0050417F" w:rsidP="0050417F">
            <w:pPr>
              <w:suppressAutoHyphens/>
              <w:contextualSpacing/>
              <w:jc w:val="both"/>
              <w:rPr>
                <w:bCs/>
                <w:szCs w:val="20"/>
                <w:lang w:eastAsia="en-US"/>
              </w:rPr>
            </w:pPr>
            <w:r w:rsidRPr="0050417F">
              <w:rPr>
                <w:rFonts w:cs="Arial"/>
                <w:bCs/>
                <w:iCs/>
                <w:szCs w:val="20"/>
                <w:lang w:eastAsia="en-US"/>
              </w:rPr>
              <w:t xml:space="preserve">Exspirace dodávaných souprav (mimo kontrolní materiály) minimálně 3 měsíce ode dne doručení na pracoviště     </w:t>
            </w:r>
          </w:p>
        </w:tc>
        <w:tc>
          <w:tcPr>
            <w:tcW w:w="1276" w:type="dxa"/>
          </w:tcPr>
          <w:p w14:paraId="018B98F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37857E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20BC6065" w14:textId="77777777" w:rsidTr="00720035">
        <w:tc>
          <w:tcPr>
            <w:tcW w:w="5245" w:type="dxa"/>
            <w:vAlign w:val="center"/>
          </w:tcPr>
          <w:p w14:paraId="42646335" w14:textId="77777777" w:rsidR="0050417F" w:rsidRPr="0050417F" w:rsidRDefault="0050417F" w:rsidP="0050417F">
            <w:pPr>
              <w:suppressAutoHyphens/>
              <w:contextualSpacing/>
              <w:jc w:val="both"/>
              <w:rPr>
                <w:bCs/>
                <w:szCs w:val="20"/>
                <w:lang w:eastAsia="en-US"/>
              </w:rPr>
            </w:pPr>
            <w:r w:rsidRPr="0050417F">
              <w:rPr>
                <w:rFonts w:cs="Arial"/>
                <w:szCs w:val="20"/>
                <w:lang w:eastAsia="en-US"/>
              </w:rPr>
              <w:t>Příbalové letáky dodávaných reagencií (diagnostické soupravy, kontrolní materiály) včetně spotřebního materiálu v českém jazyce (dodány s první dodávkou)</w:t>
            </w:r>
          </w:p>
        </w:tc>
        <w:tc>
          <w:tcPr>
            <w:tcW w:w="1276" w:type="dxa"/>
          </w:tcPr>
          <w:p w14:paraId="203EC71E"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23697BB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C9386C0" w14:textId="77777777" w:rsidTr="00720035">
        <w:tc>
          <w:tcPr>
            <w:tcW w:w="5245" w:type="dxa"/>
            <w:vAlign w:val="center"/>
          </w:tcPr>
          <w:p w14:paraId="75CAC3A7" w14:textId="77777777" w:rsidR="0050417F" w:rsidRPr="0050417F" w:rsidRDefault="0050417F" w:rsidP="0050417F">
            <w:pPr>
              <w:suppressAutoHyphens/>
              <w:contextualSpacing/>
              <w:jc w:val="both"/>
              <w:rPr>
                <w:bCs/>
                <w:szCs w:val="20"/>
                <w:lang w:eastAsia="en-US"/>
              </w:rPr>
            </w:pPr>
            <w:r w:rsidRPr="0050417F">
              <w:rPr>
                <w:rFonts w:cs="Arial"/>
                <w:bCs/>
                <w:iCs/>
                <w:szCs w:val="20"/>
                <w:lang w:eastAsia="en-US"/>
              </w:rPr>
              <w:t xml:space="preserve">Stabilita reagencií (mimo kontrolní materiály) po otevření </w:t>
            </w:r>
            <w:r w:rsidRPr="0050417F">
              <w:rPr>
                <w:rFonts w:cs="Arial"/>
                <w:bCs/>
                <w:iCs/>
                <w:szCs w:val="20"/>
                <w:shd w:val="clear" w:color="auto" w:fill="FFFFFF"/>
                <w:lang w:eastAsia="en-US"/>
              </w:rPr>
              <w:t>min. 30 dnů</w:t>
            </w:r>
          </w:p>
        </w:tc>
        <w:tc>
          <w:tcPr>
            <w:tcW w:w="1276" w:type="dxa"/>
          </w:tcPr>
          <w:p w14:paraId="7EC0CA0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4512C81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45482B0E" w14:textId="77777777" w:rsidTr="00720035">
        <w:tc>
          <w:tcPr>
            <w:tcW w:w="5245" w:type="dxa"/>
            <w:vAlign w:val="center"/>
          </w:tcPr>
          <w:p w14:paraId="42A576E0" w14:textId="77777777" w:rsidR="0050417F" w:rsidRPr="0050417F" w:rsidRDefault="0050417F" w:rsidP="0050417F">
            <w:pPr>
              <w:suppressAutoHyphens/>
              <w:contextualSpacing/>
              <w:jc w:val="both"/>
              <w:rPr>
                <w:bCs/>
                <w:szCs w:val="20"/>
                <w:lang w:eastAsia="en-US"/>
              </w:rPr>
            </w:pPr>
            <w:r w:rsidRPr="0050417F">
              <w:rPr>
                <w:rFonts w:cs="Arial"/>
                <w:bCs/>
                <w:iCs/>
                <w:szCs w:val="20"/>
                <w:lang w:eastAsia="en-US"/>
              </w:rPr>
              <w:t>Návaznost všech nabízených metod na certifikovaný referenční materiál, pokud tento existuje</w:t>
            </w:r>
          </w:p>
        </w:tc>
        <w:tc>
          <w:tcPr>
            <w:tcW w:w="1276" w:type="dxa"/>
          </w:tcPr>
          <w:p w14:paraId="60CE446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4239CE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53DAB49A" w14:textId="77777777" w:rsidTr="00720035">
        <w:tc>
          <w:tcPr>
            <w:tcW w:w="5245" w:type="dxa"/>
            <w:vAlign w:val="center"/>
          </w:tcPr>
          <w:p w14:paraId="7CA894B2" w14:textId="77777777" w:rsidR="0050417F" w:rsidRPr="0050417F" w:rsidRDefault="0050417F" w:rsidP="0050417F">
            <w:pPr>
              <w:suppressAutoHyphens/>
              <w:contextualSpacing/>
              <w:jc w:val="both"/>
              <w:rPr>
                <w:bCs/>
                <w:szCs w:val="20"/>
                <w:lang w:eastAsia="en-US"/>
              </w:rPr>
            </w:pPr>
            <w:r w:rsidRPr="0050417F">
              <w:rPr>
                <w:rFonts w:cs="Arial"/>
                <w:bCs/>
                <w:iCs/>
                <w:szCs w:val="20"/>
                <w:lang w:eastAsia="en-US"/>
              </w:rPr>
              <w:lastRenderedPageBreak/>
              <w:t>Balení s možností různých velikostí dle četnosti prováděných stanovení (návrh velikostně přiměřených balení)</w:t>
            </w:r>
          </w:p>
        </w:tc>
        <w:tc>
          <w:tcPr>
            <w:tcW w:w="1276" w:type="dxa"/>
          </w:tcPr>
          <w:p w14:paraId="6A5D5DF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AEB66F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25F689E9" w14:textId="77777777" w:rsidTr="00720035">
        <w:tc>
          <w:tcPr>
            <w:tcW w:w="5245" w:type="dxa"/>
            <w:vAlign w:val="center"/>
          </w:tcPr>
          <w:p w14:paraId="084F56BC" w14:textId="77777777" w:rsidR="0050417F" w:rsidRPr="0050417F" w:rsidRDefault="0050417F" w:rsidP="0050417F">
            <w:pPr>
              <w:suppressAutoHyphens/>
              <w:contextualSpacing/>
              <w:jc w:val="both"/>
              <w:rPr>
                <w:bCs/>
                <w:szCs w:val="20"/>
                <w:lang w:eastAsia="en-US"/>
              </w:rPr>
            </w:pPr>
            <w:r w:rsidRPr="0050417F">
              <w:rPr>
                <w:szCs w:val="20"/>
                <w:lang w:eastAsia="en-US"/>
              </w:rPr>
              <w:t>Interní kontrola kvality na komerčních kontrolních materiálech certifikovaných pro in vitro diagnostiku (CE-IVD) a v souladu s platnou legislativou, a to pro všechny klinické parametry, vždy na hladině patologické nízké, normální a patologické vysoké, bez nutnosti použití více než jedné zkumavky pro příslušnou hladinu kontroly (všechny kontrolované parametry lze stanovit z jedné zkumavky)</w:t>
            </w:r>
          </w:p>
        </w:tc>
        <w:tc>
          <w:tcPr>
            <w:tcW w:w="1276" w:type="dxa"/>
          </w:tcPr>
          <w:p w14:paraId="66BF1527"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4B9B7579"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2397ED1" w14:textId="77777777" w:rsidTr="00720035">
        <w:tc>
          <w:tcPr>
            <w:tcW w:w="5245" w:type="dxa"/>
            <w:vAlign w:val="center"/>
          </w:tcPr>
          <w:p w14:paraId="7E157925" w14:textId="77777777" w:rsidR="0050417F" w:rsidRPr="0050417F" w:rsidRDefault="0050417F" w:rsidP="0050417F">
            <w:pPr>
              <w:suppressAutoHyphens/>
              <w:contextualSpacing/>
              <w:jc w:val="both"/>
              <w:rPr>
                <w:bCs/>
                <w:szCs w:val="20"/>
                <w:lang w:eastAsia="en-US"/>
              </w:rPr>
            </w:pPr>
            <w:r w:rsidRPr="0050417F">
              <w:rPr>
                <w:rFonts w:cs="Arial"/>
                <w:szCs w:val="20"/>
                <w:lang w:eastAsia="en-US"/>
              </w:rPr>
              <w:t>Stabilita kontrolních vzorků po otevření alespoň 7 dní</w:t>
            </w:r>
          </w:p>
        </w:tc>
        <w:tc>
          <w:tcPr>
            <w:tcW w:w="1276" w:type="dxa"/>
          </w:tcPr>
          <w:p w14:paraId="18D587E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52CBDF1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40EE13B" w14:textId="77777777" w:rsidTr="00720035">
        <w:tc>
          <w:tcPr>
            <w:tcW w:w="5245" w:type="dxa"/>
            <w:vAlign w:val="center"/>
          </w:tcPr>
          <w:p w14:paraId="22C30A7E" w14:textId="77777777" w:rsidR="0050417F" w:rsidRPr="0050417F" w:rsidRDefault="0050417F" w:rsidP="0050417F">
            <w:pPr>
              <w:suppressAutoHyphens/>
              <w:contextualSpacing/>
              <w:jc w:val="both"/>
              <w:rPr>
                <w:bCs/>
                <w:szCs w:val="20"/>
                <w:lang w:eastAsia="en-US"/>
              </w:rPr>
            </w:pPr>
            <w:r w:rsidRPr="0050417F">
              <w:rPr>
                <w:rFonts w:cs="Arial"/>
                <w:szCs w:val="20"/>
                <w:lang w:eastAsia="en-US"/>
              </w:rPr>
              <w:t>Možnost identifikace kontrolního materiálu analytickým systémem prostřednictvím čarového kódu</w:t>
            </w:r>
          </w:p>
        </w:tc>
        <w:tc>
          <w:tcPr>
            <w:tcW w:w="1276" w:type="dxa"/>
          </w:tcPr>
          <w:p w14:paraId="2F76534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6965738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C62DAEA" w14:textId="77777777" w:rsidTr="00720035">
        <w:tc>
          <w:tcPr>
            <w:tcW w:w="5245" w:type="dxa"/>
            <w:vAlign w:val="center"/>
          </w:tcPr>
          <w:p w14:paraId="79E37BAE" w14:textId="77777777" w:rsidR="0050417F" w:rsidRPr="0050417F" w:rsidRDefault="0050417F" w:rsidP="0050417F">
            <w:pPr>
              <w:suppressAutoHyphens/>
              <w:contextualSpacing/>
              <w:jc w:val="both"/>
              <w:rPr>
                <w:bCs/>
                <w:szCs w:val="20"/>
                <w:lang w:eastAsia="en-US"/>
              </w:rPr>
            </w:pPr>
            <w:r w:rsidRPr="0050417F">
              <w:rPr>
                <w:rFonts w:cs="Arial"/>
                <w:szCs w:val="20"/>
                <w:lang w:eastAsia="en-US"/>
              </w:rPr>
              <w:t>Bezkyanidové reagencie pro stanovení hemoglobinu</w:t>
            </w:r>
          </w:p>
        </w:tc>
        <w:tc>
          <w:tcPr>
            <w:tcW w:w="1276" w:type="dxa"/>
          </w:tcPr>
          <w:p w14:paraId="270CCE1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314B9A15"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1C257F9A" w14:textId="77777777" w:rsidTr="00720035">
        <w:tc>
          <w:tcPr>
            <w:tcW w:w="5245" w:type="dxa"/>
            <w:vAlign w:val="center"/>
          </w:tcPr>
          <w:p w14:paraId="37752132"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t>Reagencie a materiály pro analyzátory musí být primárně vyráběny stejným výrobcem, jako je výrobce analyzátorů (uzavřený systém). Pokud jsou od jiného výrobce</w:t>
            </w:r>
            <w:r w:rsidRPr="0050417F">
              <w:rPr>
                <w:rFonts w:ascii="Calibri" w:hAnsi="Calibri"/>
                <w:szCs w:val="22"/>
                <w:lang w:eastAsia="en-US"/>
              </w:rPr>
              <w:t xml:space="preserve"> </w:t>
            </w:r>
            <w:r w:rsidRPr="0050417F">
              <w:rPr>
                <w:rFonts w:cs="Arial"/>
                <w:szCs w:val="20"/>
                <w:lang w:eastAsia="en-US"/>
              </w:rPr>
              <w:t>účastník doloží do nabídky doklady od výrobce o plné kompatibilitě reagencií a analytického systému</w:t>
            </w:r>
          </w:p>
        </w:tc>
        <w:tc>
          <w:tcPr>
            <w:tcW w:w="1276" w:type="dxa"/>
          </w:tcPr>
          <w:p w14:paraId="23873B0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5EF65E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97FAFBF" w14:textId="77777777" w:rsidTr="00720035">
        <w:tc>
          <w:tcPr>
            <w:tcW w:w="5245" w:type="dxa"/>
            <w:vAlign w:val="center"/>
          </w:tcPr>
          <w:p w14:paraId="659CF642"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t>Dodávky reagencií a veškerého spotřebního materiálu do 5 kalendářních dnů od okamžiku objednání konkrétních reagencií a spotřebního materiálu. V případě požadavku na urgentní dodávku zajistit dodání do 24 hodin od objednání ze strany objednatele</w:t>
            </w:r>
          </w:p>
        </w:tc>
        <w:tc>
          <w:tcPr>
            <w:tcW w:w="1276" w:type="dxa"/>
          </w:tcPr>
          <w:p w14:paraId="51A02E79"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923B26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71D3761D" w14:textId="77777777" w:rsidTr="00720035">
        <w:tc>
          <w:tcPr>
            <w:tcW w:w="5245" w:type="dxa"/>
            <w:vAlign w:val="center"/>
          </w:tcPr>
          <w:p w14:paraId="7286112B" w14:textId="77777777" w:rsidR="0050417F" w:rsidRPr="0050417F" w:rsidRDefault="0050417F" w:rsidP="0050417F">
            <w:pPr>
              <w:suppressAutoHyphens/>
              <w:contextualSpacing/>
              <w:jc w:val="both"/>
              <w:rPr>
                <w:rFonts w:cs="Arial"/>
                <w:szCs w:val="20"/>
                <w:lang w:eastAsia="en-US"/>
              </w:rPr>
            </w:pPr>
            <w:r w:rsidRPr="0050417F">
              <w:rPr>
                <w:b/>
                <w:szCs w:val="20"/>
                <w:lang w:eastAsia="en-US"/>
              </w:rPr>
              <w:t>Požadavky na servisní zajištění</w:t>
            </w:r>
          </w:p>
        </w:tc>
        <w:tc>
          <w:tcPr>
            <w:tcW w:w="1276" w:type="dxa"/>
          </w:tcPr>
          <w:p w14:paraId="1C4D9636" w14:textId="77777777" w:rsidR="0050417F" w:rsidRPr="0050417F" w:rsidRDefault="0050417F" w:rsidP="0050417F">
            <w:pPr>
              <w:jc w:val="center"/>
              <w:rPr>
                <w:rFonts w:ascii="Calibri" w:hAnsi="Calibri" w:cs="Calibri"/>
                <w:color w:val="FF0000"/>
                <w:szCs w:val="20"/>
              </w:rPr>
            </w:pPr>
          </w:p>
        </w:tc>
        <w:tc>
          <w:tcPr>
            <w:tcW w:w="3112" w:type="dxa"/>
          </w:tcPr>
          <w:p w14:paraId="67884532" w14:textId="77777777" w:rsidR="0050417F" w:rsidRPr="0050417F" w:rsidRDefault="0050417F" w:rsidP="0050417F">
            <w:pPr>
              <w:jc w:val="center"/>
              <w:rPr>
                <w:rFonts w:ascii="Calibri" w:hAnsi="Calibri" w:cs="Calibri"/>
                <w:color w:val="FF0000"/>
                <w:szCs w:val="20"/>
              </w:rPr>
            </w:pPr>
          </w:p>
        </w:tc>
      </w:tr>
      <w:tr w:rsidR="0050417F" w:rsidRPr="0050417F" w14:paraId="4C0612FB" w14:textId="77777777" w:rsidTr="00720035">
        <w:tc>
          <w:tcPr>
            <w:tcW w:w="5245" w:type="dxa"/>
          </w:tcPr>
          <w:p w14:paraId="58672667"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t>analyzátory krevních obrazů musí vyžadovat frekvenci údržby (za standardních podmínek) po 8 hodinách nebo déle</w:t>
            </w:r>
          </w:p>
        </w:tc>
        <w:tc>
          <w:tcPr>
            <w:tcW w:w="1276" w:type="dxa"/>
          </w:tcPr>
          <w:p w14:paraId="08391E9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257C3FA"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27877CD4" w14:textId="77777777" w:rsidTr="00720035">
        <w:tc>
          <w:tcPr>
            <w:tcW w:w="5245" w:type="dxa"/>
          </w:tcPr>
          <w:p w14:paraId="2012F3C3"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t>on-line vzdálený přístup servisních techniků a aplikačních specialistů, včetně možnosti pravidelného ověřování funkčnosti, vše v souladu s požadavky GDPR</w:t>
            </w:r>
          </w:p>
        </w:tc>
        <w:tc>
          <w:tcPr>
            <w:tcW w:w="1276" w:type="dxa"/>
          </w:tcPr>
          <w:p w14:paraId="121E4BB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2F4C91F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BF98D82" w14:textId="77777777" w:rsidTr="00720035">
        <w:tc>
          <w:tcPr>
            <w:tcW w:w="5245" w:type="dxa"/>
          </w:tcPr>
          <w:p w14:paraId="13CCA649"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t>zabezpečení dat za pomoci VPN bez účasti třetí strany</w:t>
            </w:r>
          </w:p>
        </w:tc>
        <w:tc>
          <w:tcPr>
            <w:tcW w:w="1276" w:type="dxa"/>
          </w:tcPr>
          <w:p w14:paraId="2D140D1F"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7548267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31CA4C4E" w14:textId="77777777" w:rsidTr="00720035">
        <w:tc>
          <w:tcPr>
            <w:tcW w:w="5245" w:type="dxa"/>
          </w:tcPr>
          <w:p w14:paraId="5FB6970E"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t>dodržení podmínky zajištění, aby komunikace za použití VPN nebyla provozována přes servery mimo EU v rámci zabezpečení ochrany citlivých údajů</w:t>
            </w:r>
          </w:p>
        </w:tc>
        <w:tc>
          <w:tcPr>
            <w:tcW w:w="1276" w:type="dxa"/>
          </w:tcPr>
          <w:p w14:paraId="7ACDE46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47C027F9"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2F09178" w14:textId="77777777" w:rsidTr="00720035">
        <w:tc>
          <w:tcPr>
            <w:tcW w:w="5245" w:type="dxa"/>
          </w:tcPr>
          <w:p w14:paraId="38DE25CD"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lastRenderedPageBreak/>
              <w:t>doložení typu a expirace kalibrátoru při BTK nebo uvedení do provozu</w:t>
            </w:r>
          </w:p>
        </w:tc>
        <w:tc>
          <w:tcPr>
            <w:tcW w:w="1276" w:type="dxa"/>
          </w:tcPr>
          <w:p w14:paraId="3D5CFEA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33A2ADC1"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99549C7" w14:textId="77777777" w:rsidTr="00720035">
        <w:tc>
          <w:tcPr>
            <w:tcW w:w="5245" w:type="dxa"/>
          </w:tcPr>
          <w:p w14:paraId="62095F97"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t>dodavatel musí disponovat servisní telefonní linkou (hot-line) dostupnou 24 hod denně v českém jazyce</w:t>
            </w:r>
          </w:p>
        </w:tc>
        <w:tc>
          <w:tcPr>
            <w:tcW w:w="1276" w:type="dxa"/>
          </w:tcPr>
          <w:p w14:paraId="1CA50A23"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282A8E0"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C1240FC" w14:textId="77777777" w:rsidTr="00720035">
        <w:tc>
          <w:tcPr>
            <w:tcW w:w="5245" w:type="dxa"/>
          </w:tcPr>
          <w:p w14:paraId="1F3C3E2D"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t xml:space="preserve">dodavatel zajistí dobu nástupu servisního technika na opravu – do 24 hod od objednání opravy v pracovní dny (mimo víkendy, státní svátky). </w:t>
            </w:r>
          </w:p>
        </w:tc>
        <w:tc>
          <w:tcPr>
            <w:tcW w:w="1276" w:type="dxa"/>
          </w:tcPr>
          <w:p w14:paraId="6529F786"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609ABD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221CEB06" w14:textId="77777777" w:rsidTr="00720035">
        <w:tc>
          <w:tcPr>
            <w:tcW w:w="5245" w:type="dxa"/>
          </w:tcPr>
          <w:p w14:paraId="3353A9E9" w14:textId="77777777" w:rsidR="0050417F" w:rsidRPr="0050417F" w:rsidRDefault="0050417F" w:rsidP="0050417F">
            <w:pPr>
              <w:suppressAutoHyphens/>
              <w:contextualSpacing/>
              <w:jc w:val="both"/>
              <w:rPr>
                <w:rFonts w:cs="Arial"/>
                <w:szCs w:val="20"/>
                <w:lang w:eastAsia="en-US"/>
              </w:rPr>
            </w:pPr>
            <w:r w:rsidRPr="0050417F">
              <w:rPr>
                <w:rFonts w:cs="Arial"/>
                <w:szCs w:val="20"/>
                <w:lang w:eastAsia="en-US"/>
              </w:rPr>
              <w:t>vzdálená správa - musí být zabezpečena dle nejvyšších standardů bezpečnosti</w:t>
            </w:r>
          </w:p>
          <w:p w14:paraId="2BAA297C" w14:textId="77777777" w:rsidR="0050417F" w:rsidRPr="0050417F" w:rsidRDefault="0050417F" w:rsidP="0050417F">
            <w:pPr>
              <w:suppressAutoHyphens/>
              <w:contextualSpacing/>
              <w:jc w:val="both"/>
              <w:rPr>
                <w:rFonts w:cs="Arial"/>
                <w:szCs w:val="20"/>
                <w:lang w:eastAsia="en-US"/>
              </w:rPr>
            </w:pPr>
          </w:p>
        </w:tc>
        <w:tc>
          <w:tcPr>
            <w:tcW w:w="1276" w:type="dxa"/>
          </w:tcPr>
          <w:p w14:paraId="3A064BB8"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1E93AB3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0BB2D8A8" w14:textId="77777777" w:rsidTr="00720035">
        <w:tc>
          <w:tcPr>
            <w:tcW w:w="5245" w:type="dxa"/>
          </w:tcPr>
          <w:p w14:paraId="4A7110EF" w14:textId="77777777" w:rsidR="0050417F" w:rsidRPr="0050417F" w:rsidRDefault="0050417F" w:rsidP="0050417F">
            <w:pPr>
              <w:numPr>
                <w:ilvl w:val="0"/>
                <w:numId w:val="15"/>
              </w:numPr>
              <w:suppressAutoHyphens/>
              <w:contextualSpacing/>
              <w:jc w:val="both"/>
              <w:rPr>
                <w:rFonts w:cs="Arial"/>
                <w:szCs w:val="20"/>
                <w:lang w:eastAsia="en-US"/>
              </w:rPr>
            </w:pPr>
            <w:r w:rsidRPr="0050417F">
              <w:rPr>
                <w:rFonts w:cs="Arial"/>
                <w:szCs w:val="20"/>
                <w:lang w:eastAsia="en-US"/>
              </w:rPr>
              <w:t>vzdálená správa musí být realizována pomocí technologie OpenVPN zabezpečené pomocí certifikátů a asymetrického šifrování (veřejný, privátní klíč)</w:t>
            </w:r>
          </w:p>
        </w:tc>
        <w:tc>
          <w:tcPr>
            <w:tcW w:w="1276" w:type="dxa"/>
          </w:tcPr>
          <w:p w14:paraId="6EA36CCD"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0E91D55C"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r w:rsidR="0050417F" w:rsidRPr="0050417F" w14:paraId="69F3DCAC" w14:textId="77777777" w:rsidTr="00720035">
        <w:tc>
          <w:tcPr>
            <w:tcW w:w="5245" w:type="dxa"/>
          </w:tcPr>
          <w:p w14:paraId="672E5B47" w14:textId="77777777" w:rsidR="0050417F" w:rsidRPr="0050417F" w:rsidRDefault="0050417F" w:rsidP="0050417F">
            <w:pPr>
              <w:numPr>
                <w:ilvl w:val="0"/>
                <w:numId w:val="15"/>
              </w:numPr>
              <w:suppressAutoHyphens/>
              <w:contextualSpacing/>
              <w:jc w:val="both"/>
              <w:rPr>
                <w:rFonts w:cs="Arial"/>
                <w:szCs w:val="20"/>
                <w:lang w:eastAsia="en-US"/>
              </w:rPr>
            </w:pPr>
            <w:r w:rsidRPr="0050417F">
              <w:rPr>
                <w:rFonts w:cs="Arial"/>
                <w:szCs w:val="20"/>
                <w:lang w:eastAsia="en-US"/>
              </w:rPr>
              <w:t xml:space="preserve">zabezpečení samotného spojení (citlivé údaje pacientů nemohou být v šifrovaném tunelu plně pod správou firmy napadeny) </w:t>
            </w:r>
          </w:p>
          <w:p w14:paraId="7870A01C" w14:textId="77777777" w:rsidR="0050417F" w:rsidRPr="0050417F" w:rsidRDefault="0050417F" w:rsidP="0050417F">
            <w:pPr>
              <w:numPr>
                <w:ilvl w:val="0"/>
                <w:numId w:val="15"/>
              </w:numPr>
              <w:suppressAutoHyphens/>
              <w:contextualSpacing/>
              <w:jc w:val="both"/>
              <w:rPr>
                <w:rFonts w:cs="Arial"/>
                <w:szCs w:val="20"/>
                <w:lang w:eastAsia="en-US"/>
              </w:rPr>
            </w:pPr>
            <w:r w:rsidRPr="0050417F">
              <w:rPr>
                <w:rFonts w:cs="Arial"/>
                <w:szCs w:val="20"/>
                <w:lang w:eastAsia="en-US"/>
              </w:rPr>
              <w:t>připojení zaměstnanců dodavatele (produktový specialisté, servisní technici) k analyzátorům je realizováno musí být realizováno pomocí logování (musí být možné kdykoli dohledat, kdo, kam, kdy a za jakým účelem se připojoval)</w:t>
            </w:r>
          </w:p>
          <w:p w14:paraId="13BB52E7" w14:textId="77777777" w:rsidR="0050417F" w:rsidRPr="0050417F" w:rsidRDefault="0050417F" w:rsidP="0050417F">
            <w:pPr>
              <w:numPr>
                <w:ilvl w:val="0"/>
                <w:numId w:val="15"/>
              </w:numPr>
              <w:suppressAutoHyphens/>
              <w:contextualSpacing/>
              <w:jc w:val="both"/>
              <w:rPr>
                <w:rFonts w:cs="Arial"/>
                <w:szCs w:val="20"/>
                <w:lang w:eastAsia="en-US"/>
              </w:rPr>
            </w:pPr>
            <w:r w:rsidRPr="0050417F">
              <w:rPr>
                <w:rFonts w:cs="Arial"/>
                <w:szCs w:val="20"/>
                <w:lang w:eastAsia="en-US"/>
              </w:rPr>
              <w:t>služba nesmí být poskytována přes třetí strany</w:t>
            </w:r>
          </w:p>
        </w:tc>
        <w:tc>
          <w:tcPr>
            <w:tcW w:w="1276" w:type="dxa"/>
          </w:tcPr>
          <w:p w14:paraId="14681DCB"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c>
          <w:tcPr>
            <w:tcW w:w="3112" w:type="dxa"/>
          </w:tcPr>
          <w:p w14:paraId="794BBF39" w14:textId="77777777" w:rsidR="0050417F" w:rsidRPr="0050417F" w:rsidRDefault="0050417F" w:rsidP="0050417F">
            <w:pPr>
              <w:jc w:val="center"/>
              <w:rPr>
                <w:rFonts w:ascii="Calibri" w:hAnsi="Calibri" w:cs="Calibri"/>
                <w:color w:val="FF0000"/>
                <w:szCs w:val="20"/>
              </w:rPr>
            </w:pPr>
            <w:r w:rsidRPr="0050417F">
              <w:rPr>
                <w:rFonts w:ascii="Calibri" w:hAnsi="Calibri" w:cs="Calibri"/>
                <w:color w:val="FF0000"/>
                <w:szCs w:val="20"/>
              </w:rPr>
              <w:t>(doplní dodavatel)</w:t>
            </w:r>
          </w:p>
        </w:tc>
      </w:tr>
    </w:tbl>
    <w:p w14:paraId="36CAD2FC" w14:textId="30645FA2" w:rsidR="00321C12" w:rsidRDefault="00321C12" w:rsidP="00DB428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2DCDB02A" w14:textId="46EC0390" w:rsidR="00321C12" w:rsidRDefault="00321C12" w:rsidP="00321C12">
      <w:pPr>
        <w:rPr>
          <w:lang w:eastAsia="en-US"/>
        </w:rPr>
      </w:pPr>
    </w:p>
    <w:p w14:paraId="19B68E8D" w14:textId="77777777" w:rsidR="00397F45" w:rsidRDefault="00397F45" w:rsidP="00321C12">
      <w:pPr>
        <w:rPr>
          <w:rFonts w:asciiTheme="minorHAnsi" w:hAnsiTheme="minorHAnsi"/>
          <w:b/>
          <w:bCs/>
          <w:sz w:val="22"/>
          <w:szCs w:val="22"/>
        </w:rPr>
      </w:pPr>
    </w:p>
    <w:p w14:paraId="600B3A85" w14:textId="31300181" w:rsidR="00321C12" w:rsidRPr="00397F45" w:rsidRDefault="00397F45" w:rsidP="00321C12">
      <w:pPr>
        <w:rPr>
          <w:rFonts w:asciiTheme="minorHAnsi" w:hAnsiTheme="minorHAnsi"/>
          <w:b/>
          <w:bCs/>
          <w:sz w:val="22"/>
          <w:szCs w:val="22"/>
        </w:rPr>
      </w:pPr>
      <w:r w:rsidRPr="00397F45">
        <w:rPr>
          <w:rFonts w:asciiTheme="minorHAnsi" w:hAnsiTheme="minorHAnsi"/>
          <w:b/>
          <w:bCs/>
          <w:sz w:val="22"/>
          <w:szCs w:val="22"/>
        </w:rPr>
        <w:t>K</w:t>
      </w:r>
      <w:r w:rsidR="00321C12" w:rsidRPr="00397F45">
        <w:rPr>
          <w:rFonts w:asciiTheme="minorHAnsi" w:hAnsiTheme="minorHAnsi"/>
          <w:b/>
          <w:bCs/>
          <w:sz w:val="22"/>
          <w:szCs w:val="22"/>
        </w:rPr>
        <w:t xml:space="preserve">ritérium: </w:t>
      </w:r>
      <w:r w:rsidRPr="00397F45">
        <w:rPr>
          <w:rFonts w:asciiTheme="minorHAnsi" w:hAnsiTheme="minorHAnsi"/>
          <w:b/>
          <w:bCs/>
          <w:sz w:val="22"/>
          <w:szCs w:val="22"/>
        </w:rPr>
        <w:t>Technické parametry</w:t>
      </w:r>
      <w:r w:rsidR="00321C12" w:rsidRPr="00397F45">
        <w:rPr>
          <w:rFonts w:asciiTheme="minorHAnsi" w:hAnsiTheme="minorHAnsi"/>
          <w:b/>
          <w:bCs/>
          <w:sz w:val="22"/>
          <w:szCs w:val="22"/>
        </w:rPr>
        <w:t xml:space="preserve"> </w:t>
      </w:r>
    </w:p>
    <w:p w14:paraId="4C28A3E2" w14:textId="575F20DD" w:rsidR="00321C12" w:rsidRDefault="00321C12" w:rsidP="00321C12">
      <w:pPr>
        <w:rPr>
          <w:rFonts w:asciiTheme="minorHAnsi" w:hAnsiTheme="minorHAnsi"/>
          <w:b/>
          <w:bCs/>
          <w:sz w:val="22"/>
          <w:szCs w:val="22"/>
        </w:rPr>
      </w:pPr>
      <w:r w:rsidRPr="002D5105">
        <w:rPr>
          <w:rFonts w:asciiTheme="minorHAnsi" w:hAnsiTheme="minorHAnsi"/>
          <w:b/>
          <w:bCs/>
          <w:sz w:val="22"/>
          <w:szCs w:val="22"/>
        </w:rPr>
        <w:t>Váha kritéri</w:t>
      </w:r>
      <w:r>
        <w:rPr>
          <w:rFonts w:asciiTheme="minorHAnsi" w:hAnsiTheme="minorHAnsi"/>
          <w:b/>
          <w:bCs/>
          <w:sz w:val="22"/>
          <w:szCs w:val="22"/>
        </w:rPr>
        <w:t>a</w:t>
      </w:r>
      <w:r w:rsidRPr="002D5105">
        <w:rPr>
          <w:rFonts w:asciiTheme="minorHAnsi" w:hAnsiTheme="minorHAnsi"/>
          <w:b/>
          <w:bCs/>
          <w:sz w:val="22"/>
          <w:szCs w:val="22"/>
        </w:rPr>
        <w:t xml:space="preserve"> je </w:t>
      </w:r>
      <w:r w:rsidR="0050417F">
        <w:rPr>
          <w:rFonts w:asciiTheme="minorHAnsi" w:hAnsiTheme="minorHAnsi"/>
          <w:b/>
          <w:bCs/>
          <w:sz w:val="22"/>
          <w:szCs w:val="22"/>
        </w:rPr>
        <w:t>3</w:t>
      </w:r>
      <w:r w:rsidRPr="002D5105">
        <w:rPr>
          <w:rFonts w:asciiTheme="minorHAnsi" w:hAnsiTheme="minorHAnsi"/>
          <w:b/>
          <w:bCs/>
          <w:sz w:val="22"/>
          <w:szCs w:val="22"/>
        </w:rPr>
        <w:t>0 %.</w:t>
      </w:r>
    </w:p>
    <w:p w14:paraId="34DBFEC8" w14:textId="77777777" w:rsidR="00397F45" w:rsidRDefault="00397F45" w:rsidP="00321C12">
      <w:pPr>
        <w:rPr>
          <w:rFonts w:asciiTheme="minorHAnsi" w:hAnsiTheme="minorHAnsi"/>
          <w:b/>
          <w:bCs/>
          <w:sz w:val="22"/>
          <w:szCs w:val="22"/>
        </w:rPr>
      </w:pPr>
    </w:p>
    <w:tbl>
      <w:tblPr>
        <w:tblpPr w:leftFromText="141" w:rightFromText="141" w:bottomFromText="200" w:vertAnchor="text" w:tblpX="120"/>
        <w:tblW w:w="9549" w:type="dxa"/>
        <w:shd w:val="clear" w:color="auto" w:fill="FFFFFF"/>
        <w:tblCellMar>
          <w:left w:w="0" w:type="dxa"/>
          <w:right w:w="0" w:type="dxa"/>
        </w:tblCellMar>
        <w:tblLook w:val="04A0" w:firstRow="1" w:lastRow="0" w:firstColumn="1" w:lastColumn="0" w:noHBand="0" w:noVBand="1"/>
      </w:tblPr>
      <w:tblGrid>
        <w:gridCol w:w="5018"/>
        <w:gridCol w:w="1133"/>
        <w:gridCol w:w="1161"/>
        <w:gridCol w:w="1119"/>
        <w:gridCol w:w="1118"/>
      </w:tblGrid>
      <w:tr w:rsidR="00397F45" w14:paraId="70762FEE" w14:textId="6BB44A55" w:rsidTr="00397F45">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32D96433" w14:textId="77777777" w:rsidR="00397F45" w:rsidRPr="00397F45" w:rsidRDefault="00397F45" w:rsidP="00397F45">
            <w:pPr>
              <w:spacing w:line="276" w:lineRule="auto"/>
              <w:jc w:val="center"/>
              <w:rPr>
                <w:rFonts w:ascii="Calibri" w:hAnsi="Calibri" w:cs="Arial"/>
                <w:b/>
                <w:bCs/>
                <w:sz w:val="22"/>
                <w:szCs w:val="22"/>
                <w:lang w:eastAsia="en-US"/>
              </w:rPr>
            </w:pPr>
            <w:r w:rsidRPr="00397F45">
              <w:rPr>
                <w:rFonts w:ascii="Calibri" w:hAnsi="Calibri" w:cs="Arial"/>
                <w:b/>
                <w:bCs/>
                <w:sz w:val="22"/>
                <w:szCs w:val="22"/>
                <w:lang w:eastAsia="en-US"/>
              </w:rPr>
              <w:t>Hodnocené parametry - podkritéria</w:t>
            </w:r>
          </w:p>
        </w:tc>
        <w:tc>
          <w:tcPr>
            <w:tcW w:w="1133"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58E5CF98" w14:textId="77777777" w:rsidR="00397F45" w:rsidRPr="00397F45" w:rsidRDefault="00397F45" w:rsidP="00397F45">
            <w:pPr>
              <w:spacing w:line="276" w:lineRule="auto"/>
              <w:jc w:val="center"/>
              <w:rPr>
                <w:rFonts w:ascii="Calibri" w:hAnsi="Calibri" w:cs="Arial"/>
                <w:b/>
                <w:bCs/>
                <w:sz w:val="22"/>
                <w:szCs w:val="22"/>
                <w:lang w:eastAsia="en-US"/>
              </w:rPr>
            </w:pPr>
            <w:r w:rsidRPr="00397F45">
              <w:rPr>
                <w:rFonts w:ascii="Calibri" w:hAnsi="Calibri" w:cs="Arial"/>
                <w:b/>
                <w:bCs/>
                <w:sz w:val="22"/>
                <w:szCs w:val="22"/>
                <w:lang w:eastAsia="en-US"/>
              </w:rPr>
              <w:t>Hodnota/ Jednotka</w:t>
            </w:r>
          </w:p>
        </w:tc>
        <w:tc>
          <w:tcPr>
            <w:tcW w:w="1161"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0359D69C" w14:textId="77777777" w:rsidR="00397F45" w:rsidRPr="00397F45" w:rsidRDefault="00397F45" w:rsidP="00397F45">
            <w:pPr>
              <w:spacing w:line="276" w:lineRule="auto"/>
              <w:jc w:val="center"/>
              <w:rPr>
                <w:rFonts w:ascii="Calibri" w:hAnsi="Calibri" w:cs="Arial"/>
                <w:b/>
                <w:bCs/>
                <w:sz w:val="22"/>
                <w:szCs w:val="22"/>
                <w:lang w:eastAsia="en-US"/>
              </w:rPr>
            </w:pPr>
            <w:r w:rsidRPr="00397F45">
              <w:rPr>
                <w:rFonts w:ascii="Calibri" w:hAnsi="Calibri" w:cs="Arial"/>
                <w:b/>
                <w:bCs/>
                <w:sz w:val="22"/>
                <w:szCs w:val="22"/>
                <w:lang w:eastAsia="en-US"/>
              </w:rPr>
              <w:t>Váha podkritéria</w:t>
            </w:r>
          </w:p>
        </w:tc>
        <w:tc>
          <w:tcPr>
            <w:tcW w:w="1119" w:type="dxa"/>
            <w:tcBorders>
              <w:top w:val="single" w:sz="8" w:space="0" w:color="auto"/>
              <w:left w:val="nil"/>
              <w:bottom w:val="single" w:sz="8" w:space="0" w:color="auto"/>
              <w:right w:val="single" w:sz="8" w:space="0" w:color="auto"/>
            </w:tcBorders>
            <w:shd w:val="clear" w:color="auto" w:fill="BDD6EE" w:themeFill="accent1" w:themeFillTint="66"/>
          </w:tcPr>
          <w:p w14:paraId="288AD0BA" w14:textId="77777777" w:rsidR="00397F45" w:rsidRPr="00397F45" w:rsidRDefault="00397F45" w:rsidP="00397F45">
            <w:pPr>
              <w:spacing w:line="276" w:lineRule="auto"/>
              <w:jc w:val="center"/>
              <w:rPr>
                <w:rFonts w:ascii="Calibri" w:hAnsi="Calibri" w:cs="Arial"/>
                <w:b/>
                <w:sz w:val="22"/>
                <w:szCs w:val="22"/>
                <w:lang w:eastAsia="en-US"/>
              </w:rPr>
            </w:pPr>
            <w:r w:rsidRPr="00397F45">
              <w:rPr>
                <w:rFonts w:ascii="Calibri" w:eastAsia="Calibri" w:hAnsi="Calibri" w:cs="Calibri"/>
                <w:b/>
                <w:color w:val="000000"/>
                <w:sz w:val="22"/>
                <w:szCs w:val="22"/>
              </w:rPr>
              <w:t>Způsob hodnocení</w:t>
            </w:r>
          </w:p>
        </w:tc>
        <w:tc>
          <w:tcPr>
            <w:tcW w:w="1118" w:type="dxa"/>
            <w:tcBorders>
              <w:top w:val="single" w:sz="8" w:space="0" w:color="auto"/>
              <w:left w:val="nil"/>
              <w:bottom w:val="single" w:sz="8" w:space="0" w:color="auto"/>
              <w:right w:val="single" w:sz="8" w:space="0" w:color="auto"/>
            </w:tcBorders>
            <w:shd w:val="clear" w:color="auto" w:fill="BDD6EE" w:themeFill="accent1" w:themeFillTint="66"/>
          </w:tcPr>
          <w:p w14:paraId="7E9484EE" w14:textId="60A0A96F" w:rsidR="00397F45" w:rsidRPr="00397F45" w:rsidRDefault="00397F45" w:rsidP="00397F45">
            <w:pPr>
              <w:spacing w:line="276" w:lineRule="auto"/>
              <w:jc w:val="center"/>
              <w:rPr>
                <w:rFonts w:ascii="Calibri" w:eastAsia="Calibri" w:hAnsi="Calibri" w:cs="Calibri"/>
                <w:b/>
                <w:color w:val="000000"/>
                <w:sz w:val="22"/>
                <w:szCs w:val="22"/>
              </w:rPr>
            </w:pPr>
            <w:r w:rsidRPr="00397F45">
              <w:rPr>
                <w:rFonts w:asciiTheme="minorHAnsi" w:hAnsiTheme="minorHAnsi" w:cs="Arial"/>
                <w:b/>
                <w:sz w:val="22"/>
                <w:szCs w:val="22"/>
                <w:lang w:eastAsia="en-US"/>
              </w:rPr>
              <w:t>Nabízené plnění</w:t>
            </w:r>
          </w:p>
        </w:tc>
      </w:tr>
      <w:tr w:rsidR="00397F45" w14:paraId="106006BD" w14:textId="22BC8796" w:rsidTr="00397F45">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119BECB" w14:textId="77777777" w:rsidR="00397F45" w:rsidRPr="009758B0" w:rsidRDefault="00397F45" w:rsidP="00397F45">
            <w:pPr>
              <w:spacing w:line="276" w:lineRule="auto"/>
              <w:rPr>
                <w:rFonts w:ascii="Calibri" w:hAnsi="Calibri" w:cs="Arial"/>
                <w:b/>
                <w:bCs/>
                <w:szCs w:val="20"/>
                <w:lang w:eastAsia="en-US"/>
              </w:rPr>
            </w:pPr>
            <w:r w:rsidRPr="009758B0">
              <w:rPr>
                <w:rFonts w:ascii="Calibri" w:hAnsi="Calibri" w:cs="Calibri"/>
                <w:b/>
                <w:bCs/>
                <w:szCs w:val="20"/>
                <w:lang w:eastAsia="ja-JP"/>
              </w:rPr>
              <w:t>Rozlišení monocytóz na reaktivní monocytózy a odlišení záchytu patologické příčiny v podobě podezření na suspektní monocytózu maligního původu (v případě využití speciálních reagencií je dodavatel povinen uvést spotřebu v cenové nabídce)</w:t>
            </w:r>
            <w:r>
              <w:rPr>
                <w:rFonts w:ascii="Calibri" w:hAnsi="Calibri" w:cs="Calibri"/>
                <w:b/>
                <w:bCs/>
                <w:szCs w:val="20"/>
                <w:lang w:eastAsia="ja-JP"/>
              </w:rPr>
              <w:t>.</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3B912A4" w14:textId="77777777" w:rsidR="00397F45" w:rsidRPr="00C857D7" w:rsidRDefault="00397F45" w:rsidP="00397F45">
            <w:pPr>
              <w:spacing w:line="276" w:lineRule="auto"/>
              <w:jc w:val="center"/>
              <w:rPr>
                <w:rFonts w:ascii="Calibri" w:hAnsi="Calibri" w:cs="Arial"/>
                <w:b/>
                <w:bCs/>
                <w:szCs w:val="20"/>
                <w:lang w:eastAsia="en-US"/>
              </w:rPr>
            </w:pPr>
            <w:r w:rsidRPr="009758B0">
              <w:rPr>
                <w:rFonts w:ascii="Calibri" w:hAnsi="Calibri" w:cs="Arial"/>
                <w:b/>
                <w:bCs/>
                <w:szCs w:val="20"/>
                <w:lang w:eastAsia="en-US"/>
              </w:rPr>
              <w:t>ANO/NE</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E0CED73" w14:textId="77777777" w:rsidR="00397F45" w:rsidRPr="00C857D7" w:rsidRDefault="00397F45" w:rsidP="00397F45">
            <w:pPr>
              <w:spacing w:line="276" w:lineRule="auto"/>
              <w:jc w:val="center"/>
              <w:rPr>
                <w:rFonts w:ascii="Calibri" w:hAnsi="Calibri" w:cs="Arial"/>
                <w:b/>
                <w:bCs/>
                <w:szCs w:val="20"/>
                <w:lang w:eastAsia="en-US"/>
              </w:rPr>
            </w:pPr>
            <w:r>
              <w:rPr>
                <w:rFonts w:ascii="Calibri" w:hAnsi="Calibri" w:cs="Arial"/>
                <w:b/>
                <w:bCs/>
                <w:szCs w:val="20"/>
                <w:lang w:eastAsia="en-US"/>
              </w:rPr>
              <w:t xml:space="preserve">40 </w:t>
            </w:r>
            <w:r w:rsidRPr="00C857D7">
              <w:rPr>
                <w:rFonts w:ascii="Calibri" w:hAnsi="Calibri" w:cs="Arial"/>
                <w:b/>
                <w:bCs/>
                <w:szCs w:val="20"/>
                <w:lang w:eastAsia="en-US"/>
              </w:rPr>
              <w:t>%</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50FE5235" w14:textId="77777777" w:rsidR="00397F45" w:rsidRDefault="00397F45" w:rsidP="00397F45">
            <w:pPr>
              <w:spacing w:line="276" w:lineRule="auto"/>
              <w:jc w:val="center"/>
              <w:rPr>
                <w:rFonts w:ascii="Calibri" w:hAnsi="Calibri" w:cs="Arial"/>
                <w:b/>
                <w:szCs w:val="20"/>
                <w:lang w:eastAsia="en-US"/>
              </w:rPr>
            </w:pPr>
            <w:r w:rsidRPr="009758B0">
              <w:rPr>
                <w:rFonts w:ascii="Calibri" w:hAnsi="Calibri" w:cs="Arial"/>
                <w:b/>
                <w:szCs w:val="20"/>
                <w:lang w:eastAsia="en-US"/>
              </w:rPr>
              <w:t>ANO=10 bodů, NE=0 bodů</w:t>
            </w:r>
          </w:p>
          <w:p w14:paraId="47A497CA" w14:textId="77777777" w:rsidR="00397F45" w:rsidRPr="00C857D7" w:rsidRDefault="00397F45" w:rsidP="00397F45">
            <w:pPr>
              <w:spacing w:line="276" w:lineRule="auto"/>
              <w:jc w:val="center"/>
              <w:rPr>
                <w:rFonts w:ascii="Calibri" w:hAnsi="Calibri" w:cs="Arial"/>
                <w:b/>
                <w:szCs w:val="20"/>
                <w:lang w:eastAsia="en-US"/>
              </w:rPr>
            </w:pPr>
            <w:r w:rsidRPr="00C857D7">
              <w:rPr>
                <w:rFonts w:ascii="Calibri" w:hAnsi="Calibri" w:cs="Arial"/>
                <w:b/>
                <w:bCs/>
                <w:szCs w:val="20"/>
                <w:lang w:eastAsia="en-US"/>
              </w:rPr>
              <w:t>Ano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35AA5957" w14:textId="289E6187" w:rsidR="00397F45" w:rsidRPr="009758B0" w:rsidRDefault="00397F45" w:rsidP="00397F45">
            <w:pPr>
              <w:spacing w:line="276" w:lineRule="auto"/>
              <w:jc w:val="center"/>
              <w:rPr>
                <w:rFonts w:ascii="Calibri" w:hAnsi="Calibri" w:cs="Arial"/>
                <w:b/>
                <w:szCs w:val="20"/>
                <w:lang w:eastAsia="en-US"/>
              </w:rPr>
            </w:pPr>
            <w:r w:rsidRPr="00517E7B">
              <w:rPr>
                <w:rFonts w:ascii="Calibri" w:hAnsi="Calibri" w:cs="Calibri"/>
                <w:color w:val="FF0000"/>
                <w:szCs w:val="20"/>
              </w:rPr>
              <w:t>(doplní dodavatel)</w:t>
            </w:r>
          </w:p>
        </w:tc>
      </w:tr>
      <w:tr w:rsidR="00397F45" w14:paraId="76A7219A" w14:textId="63321BE5" w:rsidTr="00397F45">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EEF38C8" w14:textId="77777777" w:rsidR="00397F45" w:rsidRPr="009758B0" w:rsidRDefault="00397F45" w:rsidP="00397F45">
            <w:pPr>
              <w:spacing w:line="276" w:lineRule="auto"/>
              <w:rPr>
                <w:rFonts w:ascii="Calibri" w:hAnsi="Calibri" w:cs="Arial"/>
                <w:b/>
                <w:bCs/>
                <w:szCs w:val="20"/>
                <w:lang w:eastAsia="en-US"/>
              </w:rPr>
            </w:pPr>
            <w:r w:rsidRPr="009758B0">
              <w:rPr>
                <w:rFonts w:ascii="Calibri" w:hAnsi="Calibri" w:cs="Calibri"/>
                <w:b/>
                <w:bCs/>
                <w:szCs w:val="20"/>
              </w:rPr>
              <w:t xml:space="preserve">Kvantitativní diferenciace nezralých frakcí leukocytů a jejich odlišení od nezralých forem lymfocytů, s odlišením reaktivních a nereaktivních změn, s cílem rychlejší suspekce na hematoonkologické onemocnění a včasné </w:t>
            </w:r>
            <w:r w:rsidRPr="009758B0">
              <w:rPr>
                <w:rFonts w:ascii="Calibri" w:hAnsi="Calibri" w:cs="Calibri"/>
                <w:b/>
                <w:bCs/>
                <w:szCs w:val="20"/>
              </w:rPr>
              <w:lastRenderedPageBreak/>
              <w:t>detekce aktivace buněk imunitního systému (např. při počínající sepsi), pro všechny vydávané parametry certifikovaná kontrola kvality</w:t>
            </w:r>
            <w:r>
              <w:rPr>
                <w:rFonts w:ascii="Calibri" w:hAnsi="Calibri" w:cs="Calibri"/>
                <w:b/>
                <w:bCs/>
                <w:szCs w:val="20"/>
              </w:rPr>
              <w:t>.</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A622C5E" w14:textId="77777777" w:rsidR="00397F45" w:rsidRPr="00C857D7" w:rsidRDefault="00397F45" w:rsidP="00397F45">
            <w:pPr>
              <w:spacing w:line="276" w:lineRule="auto"/>
              <w:jc w:val="center"/>
              <w:rPr>
                <w:rFonts w:ascii="Calibri" w:hAnsi="Calibri" w:cs="Arial"/>
                <w:b/>
                <w:bCs/>
                <w:szCs w:val="20"/>
                <w:lang w:eastAsia="en-US"/>
              </w:rPr>
            </w:pPr>
            <w:r w:rsidRPr="009758B0">
              <w:rPr>
                <w:rFonts w:ascii="Calibri" w:hAnsi="Calibri" w:cs="Arial"/>
                <w:b/>
                <w:bCs/>
                <w:szCs w:val="20"/>
                <w:lang w:eastAsia="en-US"/>
              </w:rPr>
              <w:lastRenderedPageBreak/>
              <w:t>ANO/NE</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334CF894" w14:textId="77777777" w:rsidR="00397F45" w:rsidRPr="00C857D7" w:rsidRDefault="00397F45" w:rsidP="00397F45">
            <w:pPr>
              <w:spacing w:line="276" w:lineRule="auto"/>
              <w:jc w:val="center"/>
              <w:rPr>
                <w:rFonts w:ascii="Calibri" w:hAnsi="Calibri" w:cs="Arial"/>
                <w:b/>
                <w:bCs/>
                <w:szCs w:val="20"/>
                <w:lang w:eastAsia="en-US"/>
              </w:rPr>
            </w:pPr>
            <w:r>
              <w:rPr>
                <w:rFonts w:ascii="Calibri" w:hAnsi="Calibri" w:cs="Arial"/>
                <w:b/>
                <w:bCs/>
                <w:szCs w:val="20"/>
                <w:lang w:eastAsia="en-US"/>
              </w:rPr>
              <w:t xml:space="preserve">30 </w:t>
            </w:r>
            <w:r w:rsidRPr="00C857D7">
              <w:rPr>
                <w:rFonts w:ascii="Calibri" w:hAnsi="Calibri" w:cs="Arial"/>
                <w:b/>
                <w:bCs/>
                <w:szCs w:val="20"/>
                <w:lang w:eastAsia="en-US"/>
              </w:rPr>
              <w:t>%</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2AE904DB" w14:textId="77777777" w:rsidR="00397F45" w:rsidRPr="009758B0" w:rsidRDefault="00397F45" w:rsidP="00397F45">
            <w:pPr>
              <w:spacing w:line="276" w:lineRule="auto"/>
              <w:jc w:val="center"/>
              <w:rPr>
                <w:rFonts w:ascii="Calibri" w:hAnsi="Calibri" w:cs="Arial"/>
                <w:b/>
                <w:szCs w:val="20"/>
                <w:lang w:eastAsia="en-US"/>
              </w:rPr>
            </w:pPr>
            <w:r w:rsidRPr="009758B0">
              <w:rPr>
                <w:rFonts w:ascii="Calibri" w:hAnsi="Calibri" w:cs="Arial"/>
                <w:b/>
                <w:szCs w:val="20"/>
                <w:lang w:eastAsia="en-US"/>
              </w:rPr>
              <w:t>ANO=10 bodů, NE=0 bodů</w:t>
            </w:r>
          </w:p>
          <w:p w14:paraId="486C1D26" w14:textId="77777777" w:rsidR="00397F45" w:rsidRPr="00C857D7" w:rsidRDefault="00397F45" w:rsidP="00397F45">
            <w:pPr>
              <w:spacing w:line="276" w:lineRule="auto"/>
              <w:jc w:val="center"/>
              <w:rPr>
                <w:rFonts w:ascii="Calibri" w:hAnsi="Calibri" w:cs="Arial"/>
                <w:b/>
                <w:szCs w:val="20"/>
                <w:lang w:eastAsia="en-US"/>
              </w:rPr>
            </w:pPr>
            <w:r w:rsidRPr="009758B0">
              <w:rPr>
                <w:rFonts w:ascii="Calibri" w:hAnsi="Calibri" w:cs="Arial"/>
                <w:b/>
                <w:szCs w:val="20"/>
                <w:lang w:eastAsia="en-US"/>
              </w:rPr>
              <w:t>Ano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1465105D" w14:textId="5F103C27" w:rsidR="00397F45" w:rsidRPr="009758B0" w:rsidRDefault="00397F45" w:rsidP="00397F45">
            <w:pPr>
              <w:spacing w:line="276" w:lineRule="auto"/>
              <w:jc w:val="center"/>
              <w:rPr>
                <w:rFonts w:ascii="Calibri" w:hAnsi="Calibri" w:cs="Arial"/>
                <w:b/>
                <w:szCs w:val="20"/>
                <w:lang w:eastAsia="en-US"/>
              </w:rPr>
            </w:pPr>
            <w:r w:rsidRPr="00517E7B">
              <w:rPr>
                <w:rFonts w:ascii="Calibri" w:hAnsi="Calibri" w:cs="Calibri"/>
                <w:color w:val="FF0000"/>
                <w:szCs w:val="20"/>
              </w:rPr>
              <w:t>(doplní dodavatel)</w:t>
            </w:r>
          </w:p>
        </w:tc>
      </w:tr>
      <w:tr w:rsidR="00397F45" w14:paraId="48D6A23B" w14:textId="0431700B" w:rsidTr="00397F45">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4C1193E" w14:textId="77777777" w:rsidR="00397F45" w:rsidRPr="009758B0" w:rsidRDefault="00397F45" w:rsidP="00397F45">
            <w:pPr>
              <w:spacing w:line="276" w:lineRule="auto"/>
              <w:rPr>
                <w:rFonts w:ascii="Calibri" w:hAnsi="Calibri" w:cs="Arial"/>
                <w:b/>
                <w:bCs/>
                <w:szCs w:val="20"/>
                <w:lang w:eastAsia="en-US"/>
              </w:rPr>
            </w:pPr>
            <w:r w:rsidRPr="009758B0">
              <w:rPr>
                <w:rFonts w:ascii="Calibri" w:hAnsi="Calibri" w:cs="Arial"/>
                <w:b/>
                <w:bCs/>
                <w:szCs w:val="20"/>
                <w:lang w:eastAsia="en-US"/>
              </w:rPr>
              <w:t>Klinický parametr pro rozlišení původu anémie, který poskytuje informaci o využití funkčního hemoglobinu u retikulocytů a jeho poměr mezi hemoglobinem v erytrocytu.</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EF22295" w14:textId="77777777" w:rsidR="00397F45" w:rsidRPr="00C857D7" w:rsidRDefault="00397F45" w:rsidP="00397F45">
            <w:pPr>
              <w:spacing w:line="276" w:lineRule="auto"/>
              <w:jc w:val="center"/>
              <w:rPr>
                <w:rFonts w:ascii="Calibri" w:hAnsi="Calibri" w:cs="Arial"/>
                <w:sz w:val="18"/>
                <w:szCs w:val="18"/>
                <w:lang w:eastAsia="en-US"/>
              </w:rPr>
            </w:pPr>
            <w:r w:rsidRPr="009758B0">
              <w:rPr>
                <w:rFonts w:ascii="Calibri" w:hAnsi="Calibri" w:cs="Arial"/>
                <w:b/>
                <w:bCs/>
                <w:szCs w:val="20"/>
                <w:lang w:eastAsia="en-US"/>
              </w:rPr>
              <w:t>ANO/NE</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A259DC6" w14:textId="77777777" w:rsidR="00397F45" w:rsidRPr="00C857D7" w:rsidRDefault="00397F45" w:rsidP="00397F45">
            <w:pPr>
              <w:spacing w:line="276" w:lineRule="auto"/>
              <w:jc w:val="center"/>
              <w:rPr>
                <w:rFonts w:ascii="Calibri" w:hAnsi="Calibri" w:cs="Arial"/>
                <w:sz w:val="18"/>
                <w:szCs w:val="18"/>
                <w:lang w:eastAsia="en-US"/>
              </w:rPr>
            </w:pPr>
            <w:r>
              <w:rPr>
                <w:rFonts w:ascii="Calibri" w:hAnsi="Calibri" w:cs="Arial"/>
                <w:b/>
                <w:bCs/>
                <w:szCs w:val="20"/>
                <w:lang w:eastAsia="en-US"/>
              </w:rPr>
              <w:t>3</w:t>
            </w:r>
            <w:r w:rsidRPr="00C857D7">
              <w:rPr>
                <w:rFonts w:ascii="Calibri" w:hAnsi="Calibri" w:cs="Arial"/>
                <w:b/>
                <w:bCs/>
                <w:szCs w:val="20"/>
                <w:lang w:eastAsia="en-US"/>
              </w:rPr>
              <w:t>0</w:t>
            </w:r>
            <w:r>
              <w:rPr>
                <w:rFonts w:ascii="Calibri" w:hAnsi="Calibri" w:cs="Arial"/>
                <w:b/>
                <w:bCs/>
                <w:szCs w:val="20"/>
                <w:lang w:eastAsia="en-US"/>
              </w:rPr>
              <w:t xml:space="preserve"> </w:t>
            </w:r>
            <w:r w:rsidRPr="00C857D7">
              <w:rPr>
                <w:rFonts w:ascii="Calibri" w:hAnsi="Calibri" w:cs="Arial"/>
                <w:b/>
                <w:bCs/>
                <w:szCs w:val="20"/>
                <w:lang w:eastAsia="en-US"/>
              </w:rPr>
              <w:t>%</w:t>
            </w:r>
          </w:p>
        </w:tc>
        <w:tc>
          <w:tcPr>
            <w:tcW w:w="1119" w:type="dxa"/>
            <w:tcBorders>
              <w:top w:val="single" w:sz="8" w:space="0" w:color="auto"/>
              <w:left w:val="nil"/>
              <w:bottom w:val="single" w:sz="8" w:space="0" w:color="auto"/>
              <w:right w:val="single" w:sz="8" w:space="0" w:color="auto"/>
            </w:tcBorders>
            <w:shd w:val="clear" w:color="auto" w:fill="FFFFFF"/>
            <w:vAlign w:val="center"/>
            <w:hideMark/>
          </w:tcPr>
          <w:p w14:paraId="00228149" w14:textId="77777777" w:rsidR="00397F45" w:rsidRPr="009758B0" w:rsidRDefault="00397F45" w:rsidP="00397F45">
            <w:pPr>
              <w:spacing w:line="276" w:lineRule="auto"/>
              <w:jc w:val="center"/>
              <w:rPr>
                <w:rFonts w:ascii="Calibri" w:hAnsi="Calibri" w:cs="Arial"/>
                <w:b/>
                <w:szCs w:val="20"/>
                <w:lang w:eastAsia="en-US"/>
              </w:rPr>
            </w:pPr>
            <w:r w:rsidRPr="009758B0">
              <w:rPr>
                <w:rFonts w:ascii="Calibri" w:hAnsi="Calibri" w:cs="Arial"/>
                <w:b/>
                <w:szCs w:val="20"/>
                <w:lang w:eastAsia="en-US"/>
              </w:rPr>
              <w:t>ANO=10 bodů, NE=0 bodů</w:t>
            </w:r>
          </w:p>
          <w:p w14:paraId="46C68484" w14:textId="77777777" w:rsidR="00397F45" w:rsidRPr="00C857D7" w:rsidRDefault="00397F45" w:rsidP="00397F45">
            <w:pPr>
              <w:spacing w:line="276" w:lineRule="auto"/>
              <w:jc w:val="center"/>
              <w:rPr>
                <w:rFonts w:ascii="Calibri" w:hAnsi="Calibri" w:cs="Arial"/>
                <w:b/>
                <w:bCs/>
                <w:szCs w:val="20"/>
                <w:lang w:eastAsia="en-US"/>
              </w:rPr>
            </w:pPr>
            <w:r w:rsidRPr="009758B0">
              <w:rPr>
                <w:rFonts w:ascii="Calibri" w:hAnsi="Calibri" w:cs="Arial"/>
                <w:b/>
                <w:szCs w:val="20"/>
                <w:lang w:eastAsia="en-US"/>
              </w:rPr>
              <w:t>Ano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77A40892" w14:textId="6FCD09CE" w:rsidR="00397F45" w:rsidRPr="009758B0" w:rsidRDefault="00397F45" w:rsidP="00397F45">
            <w:pPr>
              <w:spacing w:line="276" w:lineRule="auto"/>
              <w:jc w:val="center"/>
              <w:rPr>
                <w:rFonts w:ascii="Calibri" w:hAnsi="Calibri" w:cs="Arial"/>
                <w:b/>
                <w:szCs w:val="20"/>
                <w:lang w:eastAsia="en-US"/>
              </w:rPr>
            </w:pPr>
            <w:r w:rsidRPr="00C05B5F">
              <w:rPr>
                <w:rFonts w:ascii="Calibri" w:hAnsi="Calibri" w:cs="Calibri"/>
                <w:color w:val="FF0000"/>
                <w:szCs w:val="20"/>
              </w:rPr>
              <w:t>(doplní dodavatel)</w:t>
            </w:r>
          </w:p>
        </w:tc>
      </w:tr>
    </w:tbl>
    <w:p w14:paraId="38E41CA9" w14:textId="77777777" w:rsidR="00321C12" w:rsidRDefault="00321C12" w:rsidP="0010777A">
      <w:pPr>
        <w:spacing w:after="160" w:line="259" w:lineRule="auto"/>
        <w:rPr>
          <w:b/>
          <w:bCs/>
        </w:rPr>
      </w:pPr>
    </w:p>
    <w:p w14:paraId="346210EC" w14:textId="77777777" w:rsidR="00397F45" w:rsidRDefault="00397F45" w:rsidP="0010777A">
      <w:pPr>
        <w:spacing w:after="160" w:line="259" w:lineRule="auto"/>
        <w:rPr>
          <w:b/>
          <w:bCs/>
        </w:rPr>
      </w:pPr>
    </w:p>
    <w:p w14:paraId="246F9D2E" w14:textId="77777777" w:rsidR="004B1830" w:rsidRDefault="004B1830" w:rsidP="0010777A">
      <w:pPr>
        <w:spacing w:after="160" w:line="259" w:lineRule="auto"/>
        <w:rPr>
          <w:b/>
          <w:bCs/>
        </w:rPr>
      </w:pPr>
    </w:p>
    <w:p w14:paraId="01F50C0B" w14:textId="51CE5A2B"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Požadavky, které budou součástí dodávky předmětu plnění</w:t>
      </w:r>
      <w:r w:rsidR="0031450F">
        <w:rPr>
          <w:rFonts w:ascii="Calibri" w:hAnsi="Calibri" w:cs="Calibri"/>
          <w:b/>
          <w:bCs/>
          <w:sz w:val="28"/>
          <w:szCs w:val="28"/>
          <w:lang w:eastAsia="en-US"/>
        </w:rPr>
        <w:t>, je-li předmětem plnění zdravotnický prostředek</w:t>
      </w:r>
      <w:r w:rsidRPr="004C1CDE">
        <w:rPr>
          <w:rFonts w:ascii="Calibri" w:hAnsi="Calibri" w:cs="Calibri"/>
          <w:b/>
          <w:bCs/>
          <w:sz w:val="28"/>
          <w:szCs w:val="28"/>
          <w:lang w:eastAsia="en-US"/>
        </w:rPr>
        <w:t xml:space="preserve">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1C4D17C1" w:rsidR="00E204A5" w:rsidRDefault="00FE0B17" w:rsidP="00FE0B17">
      <w:pPr>
        <w:rPr>
          <w:lang w:eastAsia="en-US"/>
        </w:rPr>
      </w:pPr>
      <w:r w:rsidRPr="00521492">
        <w:rPr>
          <w:lang w:eastAsia="en-US"/>
        </w:rPr>
        <w:t>SPNĚNÍ UVEDENÝCH POŽADAVKŮ POŽADUJE ZADAVATEL V RÁMCI DODÁVKY PŘEDMĚTU PLNĚNÍ</w:t>
      </w:r>
      <w:r w:rsidR="0031450F">
        <w:rPr>
          <w:lang w:eastAsia="en-US"/>
        </w:rPr>
        <w:t xml:space="preserve"> U ZDRAVOTNICKÉHO PROSTŘEDKU</w:t>
      </w:r>
      <w:r w:rsidRPr="00521492">
        <w:rPr>
          <w:lang w:eastAsia="en-US"/>
        </w:rPr>
        <w:t>.</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l‚r –ľ’©"/>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4DF42D60" w:rsidR="00E204A5" w:rsidRDefault="006E13F9">
    <w:pPr>
      <w:pStyle w:val="Zhlav"/>
      <w:jc w:val="both"/>
    </w:pPr>
    <w:r>
      <w:rPr>
        <w:noProof/>
      </w:rPr>
      <w:drawing>
        <wp:anchor distT="0" distB="0" distL="0" distR="0" simplePos="0" relativeHeight="5" behindDoc="1" locked="0" layoutInCell="1" allowOverlap="1" wp14:anchorId="6E57B41A" wp14:editId="0D9BD276">
          <wp:simplePos x="0" y="0"/>
          <wp:positionH relativeFrom="margin">
            <wp:posOffset>4232910</wp:posOffset>
          </wp:positionH>
          <wp:positionV relativeFrom="paragraph">
            <wp:posOffset>17145</wp:posOffset>
          </wp:positionV>
          <wp:extent cx="1933575" cy="517902"/>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933575" cy="51790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D75EB1A" wp14:editId="4385BCD9">
          <wp:simplePos x="0" y="0"/>
          <wp:positionH relativeFrom="margin">
            <wp:posOffset>-371475</wp:posOffset>
          </wp:positionH>
          <wp:positionV relativeFrom="paragraph">
            <wp:posOffset>-93980</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BA0D78"/>
    <w:multiLevelType w:val="hybridMultilevel"/>
    <w:tmpl w:val="B860AC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A47E3F"/>
    <w:multiLevelType w:val="hybridMultilevel"/>
    <w:tmpl w:val="75105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2"/>
  </w:num>
  <w:num w:numId="3" w16cid:durableId="2120832709">
    <w:abstractNumId w:val="14"/>
  </w:num>
  <w:num w:numId="4" w16cid:durableId="2119443503">
    <w:abstractNumId w:val="0"/>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1"/>
  </w:num>
  <w:num w:numId="8" w16cid:durableId="1619097672">
    <w:abstractNumId w:val="10"/>
  </w:num>
  <w:num w:numId="9" w16cid:durableId="1527599014">
    <w:abstractNumId w:val="7"/>
  </w:num>
  <w:num w:numId="10" w16cid:durableId="908928185">
    <w:abstractNumId w:val="9"/>
  </w:num>
  <w:num w:numId="11" w16cid:durableId="1640184336">
    <w:abstractNumId w:val="8"/>
  </w:num>
  <w:num w:numId="12" w16cid:durableId="561216745">
    <w:abstractNumId w:val="13"/>
  </w:num>
  <w:num w:numId="13" w16cid:durableId="957643884">
    <w:abstractNumId w:val="2"/>
  </w:num>
  <w:num w:numId="14" w16cid:durableId="603541420">
    <w:abstractNumId w:val="3"/>
  </w:num>
  <w:num w:numId="15" w16cid:durableId="3464923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661BD"/>
    <w:rsid w:val="0010777A"/>
    <w:rsid w:val="00206EEE"/>
    <w:rsid w:val="0031450F"/>
    <w:rsid w:val="00316073"/>
    <w:rsid w:val="00321C12"/>
    <w:rsid w:val="00345782"/>
    <w:rsid w:val="00396BD9"/>
    <w:rsid w:val="00397F45"/>
    <w:rsid w:val="003B5F92"/>
    <w:rsid w:val="00423DD3"/>
    <w:rsid w:val="0043706F"/>
    <w:rsid w:val="004B1830"/>
    <w:rsid w:val="0050417F"/>
    <w:rsid w:val="0056587D"/>
    <w:rsid w:val="00684C90"/>
    <w:rsid w:val="006E13F9"/>
    <w:rsid w:val="00702EA9"/>
    <w:rsid w:val="00894DD4"/>
    <w:rsid w:val="0092255F"/>
    <w:rsid w:val="00940CC3"/>
    <w:rsid w:val="00940F64"/>
    <w:rsid w:val="00A339C9"/>
    <w:rsid w:val="00A67946"/>
    <w:rsid w:val="00A844D8"/>
    <w:rsid w:val="00AF4029"/>
    <w:rsid w:val="00B94A1B"/>
    <w:rsid w:val="00BB2A6A"/>
    <w:rsid w:val="00D6618C"/>
    <w:rsid w:val="00D972EA"/>
    <w:rsid w:val="00DB4281"/>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50417F"/>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10</Pages>
  <Words>2826</Words>
  <Characters>16674</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71</cp:revision>
  <dcterms:created xsi:type="dcterms:W3CDTF">2021-02-25T06:14:00Z</dcterms:created>
  <dcterms:modified xsi:type="dcterms:W3CDTF">2023-07-28T13:21:00Z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